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271"/>
        <w:gridCol w:w="7796"/>
        <w:gridCol w:w="993"/>
      </w:tblGrid>
      <w:tr w:rsidR="001D6932" w:rsidRPr="00493881" w14:paraId="05411D15" w14:textId="77777777" w:rsidTr="00166679">
        <w:trPr>
          <w:trHeight w:val="386"/>
        </w:trPr>
        <w:tc>
          <w:tcPr>
            <w:tcW w:w="10060" w:type="dxa"/>
            <w:gridSpan w:val="3"/>
            <w:shd w:val="clear" w:color="auto" w:fill="FFFF00"/>
          </w:tcPr>
          <w:p w14:paraId="6ACE3E83" w14:textId="77777777" w:rsidR="001D6932" w:rsidRPr="00493881" w:rsidRDefault="001D6932" w:rsidP="00166679">
            <w:pPr>
              <w:pStyle w:val="Titre2"/>
              <w:spacing w:after="120"/>
              <w:jc w:val="center"/>
              <w:rPr>
                <w:rFonts w:cs="Arial"/>
                <w:szCs w:val="22"/>
              </w:rPr>
            </w:pPr>
            <w:r w:rsidRPr="00493881">
              <w:rPr>
                <w:rFonts w:cs="Arial"/>
                <w:szCs w:val="22"/>
              </w:rPr>
              <w:t>Réflexion 2 - Identifier le coût d’acquisition des immobilisations</w:t>
            </w:r>
          </w:p>
        </w:tc>
      </w:tr>
      <w:tr w:rsidR="001D6932" w:rsidRPr="001D6932" w14:paraId="54902AA9" w14:textId="77777777" w:rsidTr="00166679">
        <w:trPr>
          <w:trHeight w:val="267"/>
        </w:trPr>
        <w:tc>
          <w:tcPr>
            <w:tcW w:w="1271" w:type="dxa"/>
            <w:shd w:val="clear" w:color="auto" w:fill="FFFF00"/>
            <w:vAlign w:val="center"/>
          </w:tcPr>
          <w:p w14:paraId="2E055AEA" w14:textId="77777777" w:rsidR="001D6932" w:rsidRPr="001D6932" w:rsidRDefault="001D6932" w:rsidP="00166679">
            <w:pPr>
              <w:spacing w:before="0"/>
              <w:rPr>
                <w:bCs/>
                <w:i/>
                <w:sz w:val="20"/>
                <w:szCs w:val="18"/>
              </w:rPr>
            </w:pPr>
            <w:r w:rsidRPr="001D6932">
              <w:rPr>
                <w:bCs/>
                <w:sz w:val="20"/>
                <w:szCs w:val="18"/>
              </w:rPr>
              <w:t>Durée : 15’</w:t>
            </w:r>
          </w:p>
        </w:tc>
        <w:tc>
          <w:tcPr>
            <w:tcW w:w="7796" w:type="dxa"/>
            <w:shd w:val="clear" w:color="auto" w:fill="FFFF00"/>
            <w:vAlign w:val="center"/>
          </w:tcPr>
          <w:p w14:paraId="1E7D83E6" w14:textId="77777777" w:rsidR="001D6932" w:rsidRPr="001D6932" w:rsidRDefault="001D6932" w:rsidP="00166679">
            <w:pPr>
              <w:spacing w:before="0"/>
              <w:jc w:val="center"/>
              <w:rPr>
                <w:bCs/>
                <w:i/>
                <w:sz w:val="20"/>
                <w:szCs w:val="18"/>
              </w:rPr>
            </w:pPr>
            <w:r w:rsidRPr="001D6932">
              <w:rPr>
                <w:bCs/>
                <w:i/>
                <w:noProof/>
                <w:sz w:val="20"/>
                <w:szCs w:val="18"/>
              </w:rPr>
              <w:drawing>
                <wp:inline distT="0" distB="0" distL="0" distR="0" wp14:anchorId="354030CD" wp14:editId="7A9D00F6">
                  <wp:extent cx="324000" cy="324000"/>
                  <wp:effectExtent l="0" t="0" r="0" b="0"/>
                  <wp:docPr id="3" name="Graphique 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sidRPr="001D6932">
              <w:rPr>
                <w:bCs/>
                <w:iCs/>
                <w:sz w:val="20"/>
                <w:szCs w:val="18"/>
              </w:rPr>
              <w:t>ou</w:t>
            </w:r>
            <w:r w:rsidRPr="001D6932">
              <w:rPr>
                <w:bCs/>
                <w:i/>
                <w:noProof/>
                <w:sz w:val="20"/>
                <w:szCs w:val="18"/>
              </w:rPr>
              <w:drawing>
                <wp:inline distT="0" distB="0" distL="0" distR="0" wp14:anchorId="743ACB0F" wp14:editId="0E8CFBA8">
                  <wp:extent cx="360000" cy="360000"/>
                  <wp:effectExtent l="0" t="0" r="0" b="2540"/>
                  <wp:docPr id="6" name="Graphique 6"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que 23"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993" w:type="dxa"/>
            <w:shd w:val="clear" w:color="auto" w:fill="FFFF00"/>
            <w:vAlign w:val="center"/>
          </w:tcPr>
          <w:p w14:paraId="5039CD92" w14:textId="77777777" w:rsidR="001D6932" w:rsidRPr="001D6932" w:rsidRDefault="001D6932" w:rsidP="00166679">
            <w:pPr>
              <w:spacing w:before="0"/>
              <w:jc w:val="center"/>
              <w:rPr>
                <w:bCs/>
                <w:i/>
                <w:sz w:val="20"/>
                <w:szCs w:val="18"/>
              </w:rPr>
            </w:pPr>
            <w:r w:rsidRPr="001D6932">
              <w:rPr>
                <w:bCs/>
                <w:iCs/>
                <w:sz w:val="20"/>
                <w:szCs w:val="18"/>
              </w:rPr>
              <w:t>Source</w:t>
            </w:r>
          </w:p>
        </w:tc>
      </w:tr>
    </w:tbl>
    <w:p w14:paraId="39C18051" w14:textId="77777777" w:rsidR="001D6932" w:rsidRPr="00523FB3" w:rsidRDefault="001D6932" w:rsidP="001D6932">
      <w:pPr>
        <w:rPr>
          <w:rFonts w:cs="Arial"/>
          <w:b/>
          <w:sz w:val="24"/>
          <w:szCs w:val="24"/>
        </w:rPr>
      </w:pPr>
      <w:r w:rsidRPr="00523FB3">
        <w:rPr>
          <w:rFonts w:cs="Arial"/>
          <w:b/>
          <w:sz w:val="24"/>
          <w:szCs w:val="24"/>
        </w:rPr>
        <w:t>Travail à faire</w:t>
      </w:r>
    </w:p>
    <w:p w14:paraId="4F6484FB" w14:textId="77777777" w:rsidR="001D6932" w:rsidRPr="001D6932" w:rsidRDefault="001D6932" w:rsidP="001D6932">
      <w:pPr>
        <w:spacing w:after="60"/>
        <w:rPr>
          <w:rFonts w:cs="Arial"/>
          <w:bCs/>
          <w:sz w:val="20"/>
          <w:szCs w:val="18"/>
        </w:rPr>
      </w:pPr>
      <w:r w:rsidRPr="001D6932">
        <w:rPr>
          <w:rFonts w:cs="Arial"/>
          <w:bCs/>
          <w:sz w:val="20"/>
          <w:szCs w:val="18"/>
        </w:rPr>
        <w:t xml:space="preserve">Après avoir lu le </w:t>
      </w:r>
      <w:r w:rsidRPr="001D6932">
        <w:rPr>
          <w:rFonts w:cs="Arial"/>
          <w:b/>
          <w:sz w:val="20"/>
          <w:szCs w:val="18"/>
        </w:rPr>
        <w:t>document</w:t>
      </w:r>
      <w:r w:rsidRPr="001D6932">
        <w:rPr>
          <w:rFonts w:cs="Arial"/>
          <w:bCs/>
          <w:sz w:val="20"/>
          <w:szCs w:val="18"/>
        </w:rPr>
        <w:t>, répondez aux questions suivantes :</w:t>
      </w:r>
    </w:p>
    <w:p w14:paraId="5E4E7E0E" w14:textId="77777777" w:rsidR="001D6932" w:rsidRPr="001D6932" w:rsidRDefault="001D6932" w:rsidP="001D6932">
      <w:pPr>
        <w:pStyle w:val="Paragraphedeliste"/>
        <w:numPr>
          <w:ilvl w:val="0"/>
          <w:numId w:val="1"/>
        </w:numPr>
        <w:spacing w:before="0"/>
        <w:rPr>
          <w:bCs/>
          <w:sz w:val="20"/>
          <w:szCs w:val="18"/>
        </w:rPr>
      </w:pPr>
      <w:r w:rsidRPr="001D6932">
        <w:rPr>
          <w:bCs/>
          <w:sz w:val="20"/>
          <w:szCs w:val="18"/>
        </w:rPr>
        <w:t>Où doivent apparaitre les immobilisations ?</w:t>
      </w:r>
    </w:p>
    <w:p w14:paraId="0446B602" w14:textId="77777777" w:rsidR="001D6932" w:rsidRPr="001D6932" w:rsidRDefault="001D6932" w:rsidP="001D6932">
      <w:pPr>
        <w:pStyle w:val="Paragraphedeliste"/>
        <w:numPr>
          <w:ilvl w:val="0"/>
          <w:numId w:val="1"/>
        </w:numPr>
        <w:spacing w:before="0"/>
        <w:rPr>
          <w:bCs/>
          <w:sz w:val="20"/>
          <w:szCs w:val="18"/>
        </w:rPr>
      </w:pPr>
      <w:r w:rsidRPr="001D6932">
        <w:rPr>
          <w:bCs/>
          <w:sz w:val="20"/>
          <w:szCs w:val="18"/>
        </w:rPr>
        <w:t>Les immobilisations reçues à titre gratuit par l’entreprises doivent-elles y apparaître ?</w:t>
      </w:r>
    </w:p>
    <w:p w14:paraId="27C112D1" w14:textId="77777777" w:rsidR="001D6932" w:rsidRPr="001D6932" w:rsidRDefault="001D6932" w:rsidP="001D6932">
      <w:pPr>
        <w:pStyle w:val="Paragraphedeliste"/>
        <w:numPr>
          <w:ilvl w:val="0"/>
          <w:numId w:val="1"/>
        </w:numPr>
        <w:spacing w:before="0"/>
        <w:rPr>
          <w:bCs/>
          <w:sz w:val="20"/>
          <w:szCs w:val="18"/>
        </w:rPr>
      </w:pPr>
      <w:r w:rsidRPr="001D6932">
        <w:rPr>
          <w:bCs/>
          <w:sz w:val="20"/>
          <w:szCs w:val="18"/>
        </w:rPr>
        <w:t>Pour quelle valeur doivent-elles y apparaître ?</w:t>
      </w:r>
    </w:p>
    <w:p w14:paraId="34FB9639" w14:textId="77777777" w:rsidR="001D6932" w:rsidRPr="001D6932" w:rsidRDefault="001D6932" w:rsidP="001D6932">
      <w:pPr>
        <w:pStyle w:val="Paragraphedeliste"/>
        <w:numPr>
          <w:ilvl w:val="0"/>
          <w:numId w:val="1"/>
        </w:numPr>
        <w:spacing w:before="0"/>
        <w:rPr>
          <w:bCs/>
          <w:sz w:val="20"/>
          <w:szCs w:val="18"/>
        </w:rPr>
      </w:pPr>
      <w:r w:rsidRPr="001D6932">
        <w:rPr>
          <w:bCs/>
          <w:sz w:val="20"/>
          <w:szCs w:val="18"/>
        </w:rPr>
        <w:t>Qu’inclut le coût d’acquisition d’une immobilisation ?</w:t>
      </w:r>
    </w:p>
    <w:p w14:paraId="32BEC853" w14:textId="77777777" w:rsidR="001D6932" w:rsidRPr="00C45BEF" w:rsidRDefault="001D6932" w:rsidP="001D6932">
      <w:pPr>
        <w:pStyle w:val="Paragraphedeliste"/>
        <w:spacing w:before="0"/>
        <w:ind w:left="360"/>
        <w:rPr>
          <w:b/>
        </w:rPr>
      </w:pPr>
    </w:p>
    <w:p w14:paraId="5C17D3CB" w14:textId="77777777" w:rsidR="001D6932" w:rsidRPr="00BF5552" w:rsidRDefault="001D6932" w:rsidP="001D6932">
      <w:pPr>
        <w:overflowPunct/>
        <w:autoSpaceDE/>
        <w:autoSpaceDN/>
        <w:adjustRightInd/>
        <w:textAlignment w:val="auto"/>
        <w:rPr>
          <w:rFonts w:cs="Arial"/>
          <w:b/>
          <w:bCs/>
          <w:sz w:val="24"/>
          <w:szCs w:val="22"/>
        </w:rPr>
      </w:pPr>
      <w:r w:rsidRPr="003F32A0">
        <w:rPr>
          <w:rFonts w:cs="Arial"/>
          <w:b/>
          <w:bCs/>
          <w:color w:val="FFFFFF" w:themeColor="background1"/>
          <w:sz w:val="24"/>
          <w:szCs w:val="22"/>
          <w:highlight w:val="red"/>
        </w:rPr>
        <w:t xml:space="preserve">Doc. </w:t>
      </w:r>
      <w:r w:rsidRPr="003F32A0">
        <w:rPr>
          <w:rFonts w:cs="Arial"/>
          <w:b/>
          <w:bCs/>
          <w:color w:val="FFFFFF" w:themeColor="background1"/>
          <w:sz w:val="24"/>
          <w:szCs w:val="22"/>
        </w:rPr>
        <w:t xml:space="preserve">  </w:t>
      </w:r>
      <w:r w:rsidRPr="00BF5552">
        <w:rPr>
          <w:rFonts w:cs="Arial"/>
          <w:b/>
          <w:bCs/>
          <w:color w:val="000000"/>
          <w:sz w:val="24"/>
          <w:szCs w:val="22"/>
        </w:rPr>
        <w:t xml:space="preserve">Valorisation des actifs - </w:t>
      </w:r>
      <w:r w:rsidRPr="00BF5552">
        <w:rPr>
          <w:rFonts w:cs="Arial"/>
          <w:b/>
          <w:bCs/>
          <w:sz w:val="24"/>
          <w:szCs w:val="22"/>
        </w:rPr>
        <w:t>Immobilisations acquises ou créées</w:t>
      </w:r>
    </w:p>
    <w:p w14:paraId="19250311" w14:textId="77777777" w:rsidR="001D6932" w:rsidRPr="001D6932" w:rsidRDefault="001D6932" w:rsidP="001D6932">
      <w:pPr>
        <w:overflowPunct/>
        <w:autoSpaceDE/>
        <w:autoSpaceDN/>
        <w:adjustRightInd/>
        <w:textAlignment w:val="auto"/>
        <w:rPr>
          <w:rFonts w:cs="Arial"/>
          <w:bCs/>
          <w:i/>
          <w:iCs/>
          <w:sz w:val="18"/>
          <w:szCs w:val="18"/>
        </w:rPr>
      </w:pPr>
      <w:r w:rsidRPr="001D6932">
        <w:rPr>
          <w:rFonts w:cs="Arial"/>
          <w:bCs/>
          <w:i/>
          <w:iCs/>
          <w:sz w:val="18"/>
          <w:szCs w:val="18"/>
        </w:rPr>
        <w:t xml:space="preserve">Source : </w:t>
      </w:r>
      <w:hyperlink r:id="rId9" w:history="1">
        <w:r w:rsidRPr="001D6932">
          <w:rPr>
            <w:rStyle w:val="Lienhypertexte"/>
            <w:rFonts w:cs="Arial"/>
            <w:i/>
            <w:iCs/>
            <w:sz w:val="18"/>
            <w:szCs w:val="16"/>
          </w:rPr>
          <w:t>http://bofip.impots.gouv.fr/</w:t>
        </w:r>
      </w:hyperlink>
    </w:p>
    <w:p w14:paraId="3BF3615E" w14:textId="77777777" w:rsidR="001D6932" w:rsidRPr="00BF5552" w:rsidRDefault="001D6932" w:rsidP="001D6932">
      <w:pPr>
        <w:overflowPunct/>
        <w:autoSpaceDE/>
        <w:autoSpaceDN/>
        <w:adjustRightInd/>
        <w:jc w:val="both"/>
        <w:textAlignment w:val="auto"/>
        <w:outlineLvl w:val="1"/>
        <w:rPr>
          <w:rFonts w:cs="Arial"/>
          <w:b/>
          <w:bCs/>
          <w:kern w:val="36"/>
          <w:szCs w:val="22"/>
        </w:rPr>
      </w:pPr>
      <w:r w:rsidRPr="00BF5552">
        <w:rPr>
          <w:rFonts w:cs="Arial"/>
          <w:b/>
          <w:bCs/>
          <w:kern w:val="36"/>
          <w:szCs w:val="22"/>
        </w:rPr>
        <w:t>I. Immobilisations acquises à titre onéreux</w:t>
      </w:r>
    </w:p>
    <w:p w14:paraId="02EB23DA" w14:textId="77777777" w:rsidR="001D6932" w:rsidRPr="001D6932" w:rsidRDefault="001D6932" w:rsidP="001D6932">
      <w:pPr>
        <w:overflowPunct/>
        <w:autoSpaceDE/>
        <w:autoSpaceDN/>
        <w:adjustRightInd/>
        <w:jc w:val="both"/>
        <w:textAlignment w:val="auto"/>
        <w:rPr>
          <w:rFonts w:cs="Arial"/>
          <w:sz w:val="20"/>
        </w:rPr>
      </w:pPr>
      <w:r w:rsidRPr="001D6932">
        <w:rPr>
          <w:rFonts w:cs="Arial"/>
          <w:b/>
          <w:sz w:val="20"/>
        </w:rPr>
        <w:t>L'</w:t>
      </w:r>
      <w:hyperlink r:id="rId10" w:tgtFrame="_blank" w:tooltip="Code général des impôts, annexe 3 Article 38 quinquies" w:history="1">
        <w:r w:rsidRPr="001D6932">
          <w:rPr>
            <w:rFonts w:cs="Arial"/>
            <w:b/>
            <w:bCs/>
            <w:sz w:val="20"/>
          </w:rPr>
          <w:t>article 38 quinquies de l’annexe III au code général des impôts (CGI)</w:t>
        </w:r>
      </w:hyperlink>
      <w:r w:rsidRPr="001D6932">
        <w:rPr>
          <w:rFonts w:cs="Arial"/>
          <w:sz w:val="20"/>
        </w:rPr>
        <w:t xml:space="preserve"> dispose que les immobilisations acquises à titre onéreux sont inscrites à l’actif du bilan pour leur coût d’acquisition.</w:t>
      </w:r>
    </w:p>
    <w:p w14:paraId="11CB075D" w14:textId="77777777" w:rsidR="001D6932" w:rsidRPr="001D6932" w:rsidRDefault="001D6932" w:rsidP="001D6932">
      <w:pPr>
        <w:overflowPunct/>
        <w:autoSpaceDE/>
        <w:autoSpaceDN/>
        <w:adjustRightInd/>
        <w:jc w:val="both"/>
        <w:textAlignment w:val="auto"/>
        <w:rPr>
          <w:rFonts w:cs="Arial"/>
          <w:sz w:val="20"/>
        </w:rPr>
      </w:pPr>
      <w:r w:rsidRPr="001D6932">
        <w:rPr>
          <w:rFonts w:cs="Arial"/>
          <w:sz w:val="20"/>
        </w:rPr>
        <w:t>Les immobilisations acquises à titre onéreux s’entendent de celles reçues en échange d’un actif monétaire, à l’exclusion des immobilisations acquises à titre gratuit, par voie d’apport ou par voie d’échange d’un autre actif non monétaire […].</w:t>
      </w:r>
    </w:p>
    <w:p w14:paraId="34E631DC" w14:textId="77777777" w:rsidR="001D6932" w:rsidRPr="001D6932" w:rsidRDefault="001D6932" w:rsidP="001D6932">
      <w:pPr>
        <w:overflowPunct/>
        <w:autoSpaceDE/>
        <w:autoSpaceDN/>
        <w:adjustRightInd/>
        <w:jc w:val="both"/>
        <w:textAlignment w:val="auto"/>
        <w:rPr>
          <w:rFonts w:cs="Arial"/>
          <w:sz w:val="20"/>
        </w:rPr>
      </w:pPr>
      <w:r w:rsidRPr="001D6932">
        <w:rPr>
          <w:rFonts w:cs="Arial"/>
          <w:sz w:val="20"/>
        </w:rPr>
        <w:t>Le coût d’acquisition correspond au prix d’achat minoré des remises, rabais commerciaux et escomptes de règlement obtenus et majoré des coûts directement engagés pour la mise en état d’utilisation du bien. […].</w:t>
      </w:r>
    </w:p>
    <w:p w14:paraId="7E13A2CE" w14:textId="77777777" w:rsidR="001D6932" w:rsidRPr="00BF5552" w:rsidRDefault="001D6932" w:rsidP="001D6932">
      <w:pPr>
        <w:overflowPunct/>
        <w:autoSpaceDE/>
        <w:autoSpaceDN/>
        <w:adjustRightInd/>
        <w:spacing w:before="240"/>
        <w:jc w:val="both"/>
        <w:textAlignment w:val="auto"/>
        <w:outlineLvl w:val="2"/>
        <w:rPr>
          <w:rFonts w:cs="Arial"/>
          <w:b/>
          <w:bCs/>
          <w:sz w:val="25"/>
          <w:szCs w:val="25"/>
        </w:rPr>
      </w:pPr>
      <w:r w:rsidRPr="00BF5552">
        <w:rPr>
          <w:rFonts w:cs="Arial"/>
          <w:b/>
          <w:bCs/>
          <w:sz w:val="25"/>
          <w:szCs w:val="25"/>
        </w:rPr>
        <w:t>A. Prix d’achat minoré des rabais, remises et escomptes obtenus</w:t>
      </w:r>
    </w:p>
    <w:p w14:paraId="5259A987" w14:textId="77777777" w:rsidR="001D6932" w:rsidRPr="001D6932" w:rsidRDefault="001D6932" w:rsidP="001D6932">
      <w:pPr>
        <w:overflowPunct/>
        <w:autoSpaceDE/>
        <w:autoSpaceDN/>
        <w:adjustRightInd/>
        <w:jc w:val="both"/>
        <w:textAlignment w:val="auto"/>
        <w:rPr>
          <w:rFonts w:cs="Arial"/>
          <w:sz w:val="20"/>
        </w:rPr>
      </w:pPr>
      <w:r w:rsidRPr="001D6932">
        <w:rPr>
          <w:rFonts w:cs="Arial"/>
          <w:sz w:val="20"/>
        </w:rPr>
        <w:t>Il est rappelé que le prix d’achat s’entend du prix convenu entre les parties pour l’acquisition, c’est-à-dire de la somme due pour l’acquisition de l’élément qui résulte en principe de la comptabilité.</w:t>
      </w:r>
    </w:p>
    <w:p w14:paraId="54C98113" w14:textId="77777777" w:rsidR="001D6932" w:rsidRPr="001D6932" w:rsidRDefault="001D6932" w:rsidP="001D6932">
      <w:pPr>
        <w:overflowPunct/>
        <w:autoSpaceDE/>
        <w:autoSpaceDN/>
        <w:adjustRightInd/>
        <w:jc w:val="both"/>
        <w:textAlignment w:val="auto"/>
        <w:rPr>
          <w:rFonts w:cs="Arial"/>
          <w:sz w:val="20"/>
        </w:rPr>
      </w:pPr>
      <w:r w:rsidRPr="001D6932">
        <w:rPr>
          <w:rFonts w:cs="Arial"/>
          <w:sz w:val="20"/>
        </w:rPr>
        <w:t>[…] Sur le plan comptable comme sur le plan fiscal, le coût d’acquisition doit être minoré des remises, rabais commerciaux et escomptes obtenus (</w:t>
      </w:r>
      <w:hyperlink r:id="rId11" w:tgtFrame="_blank" w:history="1">
        <w:r w:rsidRPr="001D6932">
          <w:rPr>
            <w:rFonts w:cs="Arial"/>
            <w:bCs/>
            <w:sz w:val="20"/>
          </w:rPr>
          <w:t>PCG, art. 321-10</w:t>
        </w:r>
      </w:hyperlink>
      <w:r w:rsidRPr="001D6932">
        <w:rPr>
          <w:rFonts w:cs="Arial"/>
          <w:sz w:val="20"/>
        </w:rPr>
        <w:t xml:space="preserve"> ; </w:t>
      </w:r>
      <w:hyperlink r:id="rId12" w:tgtFrame="_blank" w:tooltip="Code général des impôts, annexe 3 Article 38 quinquies" w:history="1">
        <w:r w:rsidRPr="001D6932">
          <w:rPr>
            <w:rFonts w:cs="Arial"/>
            <w:bCs/>
            <w:sz w:val="20"/>
          </w:rPr>
          <w:t xml:space="preserve">CGI, </w:t>
        </w:r>
        <w:proofErr w:type="spellStart"/>
        <w:r w:rsidRPr="001D6932">
          <w:rPr>
            <w:rFonts w:cs="Arial"/>
            <w:bCs/>
            <w:sz w:val="20"/>
          </w:rPr>
          <w:t>ann</w:t>
        </w:r>
        <w:proofErr w:type="spellEnd"/>
        <w:r w:rsidRPr="001D6932">
          <w:rPr>
            <w:rFonts w:cs="Arial"/>
            <w:bCs/>
            <w:sz w:val="20"/>
          </w:rPr>
          <w:t>. III, art. 38 quinquies</w:t>
        </w:r>
      </w:hyperlink>
      <w:r w:rsidRPr="001D6932">
        <w:rPr>
          <w:rFonts w:cs="Arial"/>
          <w:sz w:val="20"/>
        </w:rPr>
        <w:t>).</w:t>
      </w:r>
    </w:p>
    <w:p w14:paraId="5169985B" w14:textId="77777777" w:rsidR="001D6932" w:rsidRPr="00BF5552" w:rsidRDefault="001D6932" w:rsidP="001D6932">
      <w:pPr>
        <w:overflowPunct/>
        <w:autoSpaceDE/>
        <w:autoSpaceDN/>
        <w:adjustRightInd/>
        <w:spacing w:before="240"/>
        <w:jc w:val="both"/>
        <w:textAlignment w:val="auto"/>
        <w:outlineLvl w:val="2"/>
        <w:rPr>
          <w:rFonts w:cs="Arial"/>
          <w:b/>
          <w:bCs/>
          <w:szCs w:val="22"/>
        </w:rPr>
      </w:pPr>
      <w:r w:rsidRPr="00BF5552">
        <w:rPr>
          <w:rFonts w:cs="Arial"/>
          <w:b/>
          <w:bCs/>
          <w:szCs w:val="22"/>
        </w:rPr>
        <w:t>B. Coûts directement engagés pour la mise en état d’utilisation du bien</w:t>
      </w:r>
    </w:p>
    <w:p w14:paraId="5B06CED2" w14:textId="77777777" w:rsidR="001D6932" w:rsidRPr="001D6932" w:rsidRDefault="001D6932" w:rsidP="001D6932">
      <w:pPr>
        <w:overflowPunct/>
        <w:autoSpaceDE/>
        <w:autoSpaceDN/>
        <w:adjustRightInd/>
        <w:jc w:val="both"/>
        <w:textAlignment w:val="auto"/>
        <w:rPr>
          <w:rFonts w:cs="Arial"/>
          <w:sz w:val="20"/>
        </w:rPr>
      </w:pPr>
      <w:r w:rsidRPr="001D6932">
        <w:rPr>
          <w:rFonts w:cs="Arial"/>
          <w:sz w:val="20"/>
        </w:rPr>
        <w:t>Les coûts qui majorent le prix d’achat s’entendent des droits de douane, des taxes non récupérables, et de tous les frais directement engagés pour la mise en état d’utilisation du bien.</w:t>
      </w:r>
    </w:p>
    <w:p w14:paraId="2F39407B" w14:textId="77777777" w:rsidR="001D6932" w:rsidRPr="001D6932" w:rsidRDefault="001D6932" w:rsidP="001D6932">
      <w:pPr>
        <w:overflowPunct/>
        <w:autoSpaceDE/>
        <w:autoSpaceDN/>
        <w:adjustRightInd/>
        <w:jc w:val="both"/>
        <w:textAlignment w:val="auto"/>
        <w:rPr>
          <w:rFonts w:cs="Arial"/>
          <w:sz w:val="20"/>
        </w:rPr>
      </w:pPr>
      <w:r w:rsidRPr="001D6932">
        <w:rPr>
          <w:rFonts w:cs="Arial"/>
          <w:sz w:val="20"/>
        </w:rPr>
        <w:t>Il est rappelé que le prix d’achat est retenu pour son montant net de taxes récupérables (TVA notamment).</w:t>
      </w:r>
    </w:p>
    <w:p w14:paraId="426B81A1" w14:textId="77777777" w:rsidR="001D6932" w:rsidRPr="001D6932" w:rsidRDefault="001D6932" w:rsidP="001D6932">
      <w:pPr>
        <w:overflowPunct/>
        <w:autoSpaceDE/>
        <w:autoSpaceDN/>
        <w:adjustRightInd/>
        <w:jc w:val="both"/>
        <w:textAlignment w:val="auto"/>
        <w:rPr>
          <w:rFonts w:cs="Arial"/>
          <w:sz w:val="20"/>
        </w:rPr>
      </w:pPr>
      <w:r w:rsidRPr="001D6932">
        <w:rPr>
          <w:rFonts w:cs="Arial"/>
          <w:sz w:val="20"/>
        </w:rPr>
        <w:t>Á l’inverse, lorsque l’acquisition est grevée d’une taxe non récupérable par l’entreprise, cette taxe est incluse dans le coût d’acquisition de l’immobilisation (</w:t>
      </w:r>
      <w:hyperlink r:id="rId13" w:tooltip="BIC – Frais et charges – Impôts et taxes" w:history="1">
        <w:r w:rsidRPr="001D6932">
          <w:rPr>
            <w:rFonts w:cs="Arial"/>
            <w:b/>
            <w:bCs/>
            <w:sz w:val="20"/>
          </w:rPr>
          <w:t>BOI-BIC-CHG-40-30</w:t>
        </w:r>
      </w:hyperlink>
      <w:r w:rsidRPr="001D6932">
        <w:rPr>
          <w:rFonts w:cs="Arial"/>
          <w:sz w:val="20"/>
        </w:rPr>
        <w:t xml:space="preserve"> et </w:t>
      </w:r>
      <w:hyperlink r:id="rId14" w:tooltip="BIC - Amortissements - Règles de déduction - Base de l'amortissement - Biens n'ayant fait l'objet d'aucune réévaluation - Biens acquis à titre onéreux" w:history="1">
        <w:r w:rsidRPr="001D6932">
          <w:rPr>
            <w:rFonts w:cs="Arial"/>
            <w:b/>
            <w:bCs/>
            <w:sz w:val="20"/>
          </w:rPr>
          <w:t>BOI-BIC-AMT-10-30-30-10</w:t>
        </w:r>
      </w:hyperlink>
      <w:r w:rsidRPr="001D6932">
        <w:rPr>
          <w:rFonts w:cs="Arial"/>
          <w:sz w:val="20"/>
        </w:rPr>
        <w:t>).</w:t>
      </w:r>
    </w:p>
    <w:p w14:paraId="3158DA40" w14:textId="77777777" w:rsidR="001D6932" w:rsidRPr="001D6932" w:rsidRDefault="001D6932" w:rsidP="001D6932">
      <w:pPr>
        <w:overflowPunct/>
        <w:autoSpaceDE/>
        <w:autoSpaceDN/>
        <w:adjustRightInd/>
        <w:jc w:val="both"/>
        <w:textAlignment w:val="auto"/>
        <w:rPr>
          <w:rFonts w:cs="Arial"/>
          <w:sz w:val="20"/>
        </w:rPr>
      </w:pPr>
      <w:r w:rsidRPr="001D6932">
        <w:rPr>
          <w:rFonts w:cs="Arial"/>
          <w:sz w:val="20"/>
        </w:rPr>
        <w:t>Conformément à l’</w:t>
      </w:r>
      <w:hyperlink r:id="rId15" w:tgtFrame="_blank" w:tooltip="Code général des impôts, annexe 3 Article 38 quinquies" w:history="1">
        <w:r w:rsidRPr="001D6932">
          <w:rPr>
            <w:rFonts w:cs="Arial"/>
            <w:b/>
            <w:bCs/>
            <w:sz w:val="20"/>
          </w:rPr>
          <w:t>article 38 quinquies de l’annexe III au CGI</w:t>
        </w:r>
      </w:hyperlink>
      <w:r w:rsidRPr="001D6932">
        <w:rPr>
          <w:rFonts w:cs="Arial"/>
          <w:sz w:val="20"/>
        </w:rPr>
        <w:t>, le prix d’achat tel que défini ci-dessus est majoré des coûts directement engagés pour la mise en état d’utilisation du bien. Comme sur le plan comptable (</w:t>
      </w:r>
      <w:hyperlink r:id="rId16" w:tgtFrame="_blank" w:history="1">
        <w:r w:rsidRPr="001D6932">
          <w:rPr>
            <w:rFonts w:cs="Arial"/>
            <w:b/>
            <w:bCs/>
            <w:sz w:val="20"/>
          </w:rPr>
          <w:t>PCG, art. 321-10</w:t>
        </w:r>
      </w:hyperlink>
      <w:r w:rsidRPr="001D6932">
        <w:rPr>
          <w:rFonts w:cs="Arial"/>
          <w:sz w:val="20"/>
        </w:rPr>
        <w:t>), doivent être pris en compte l’ensemble des coûts directement attribuables pour mettre l’actif en place et en état de fonctionner selon l’utilisation prévue par la direction.</w:t>
      </w:r>
    </w:p>
    <w:p w14:paraId="38B99E25" w14:textId="77777777" w:rsidR="001D6932" w:rsidRPr="001D6932" w:rsidRDefault="001D6932" w:rsidP="001D6932">
      <w:pPr>
        <w:overflowPunct/>
        <w:autoSpaceDE/>
        <w:autoSpaceDN/>
        <w:adjustRightInd/>
        <w:jc w:val="both"/>
        <w:textAlignment w:val="auto"/>
        <w:rPr>
          <w:rFonts w:cs="Arial"/>
          <w:sz w:val="20"/>
        </w:rPr>
      </w:pPr>
      <w:r w:rsidRPr="001D6932">
        <w:rPr>
          <w:rFonts w:cs="Arial"/>
          <w:sz w:val="20"/>
        </w:rPr>
        <w:t>Il s’agit notamment :</w:t>
      </w:r>
    </w:p>
    <w:p w14:paraId="43F4C390" w14:textId="77777777" w:rsidR="001D6932" w:rsidRPr="001D6932" w:rsidRDefault="001D6932" w:rsidP="001D6932">
      <w:pPr>
        <w:pStyle w:val="Paragraphedeliste"/>
        <w:numPr>
          <w:ilvl w:val="0"/>
          <w:numId w:val="2"/>
        </w:numPr>
        <w:overflowPunct/>
        <w:autoSpaceDE/>
        <w:autoSpaceDN/>
        <w:adjustRightInd/>
        <w:spacing w:before="0"/>
        <w:ind w:left="284" w:hanging="284"/>
        <w:jc w:val="both"/>
        <w:textAlignment w:val="auto"/>
        <w:rPr>
          <w:rFonts w:cs="Arial"/>
          <w:sz w:val="20"/>
        </w:rPr>
      </w:pPr>
      <w:r w:rsidRPr="001D6932">
        <w:rPr>
          <w:rFonts w:cs="Arial"/>
          <w:sz w:val="20"/>
        </w:rPr>
        <w:t>Du coût des rémunérations et autres avantages au personnel résultant directement de l’acquisition ou de l’immobilisation ;</w:t>
      </w:r>
    </w:p>
    <w:p w14:paraId="1FFF4827" w14:textId="77777777" w:rsidR="001D6932" w:rsidRPr="001D6932" w:rsidRDefault="001D6932" w:rsidP="001D6932">
      <w:pPr>
        <w:pStyle w:val="Paragraphedeliste"/>
        <w:numPr>
          <w:ilvl w:val="0"/>
          <w:numId w:val="2"/>
        </w:numPr>
        <w:overflowPunct/>
        <w:autoSpaceDE/>
        <w:autoSpaceDN/>
        <w:adjustRightInd/>
        <w:spacing w:before="0"/>
        <w:ind w:left="284" w:hanging="284"/>
        <w:jc w:val="both"/>
        <w:textAlignment w:val="auto"/>
        <w:rPr>
          <w:rFonts w:cs="Arial"/>
          <w:sz w:val="20"/>
        </w:rPr>
      </w:pPr>
      <w:r w:rsidRPr="001D6932">
        <w:rPr>
          <w:rFonts w:cs="Arial"/>
          <w:sz w:val="20"/>
        </w:rPr>
        <w:t>Des coûts de préparation du site et des frais de démolition nécessaires à la mise en place de l’immobilisation ;</w:t>
      </w:r>
    </w:p>
    <w:p w14:paraId="1F7FB5AB" w14:textId="77777777" w:rsidR="001D6932" w:rsidRPr="001D6932" w:rsidRDefault="001D6932" w:rsidP="001D6932">
      <w:pPr>
        <w:pStyle w:val="Paragraphedeliste"/>
        <w:numPr>
          <w:ilvl w:val="0"/>
          <w:numId w:val="2"/>
        </w:numPr>
        <w:overflowPunct/>
        <w:autoSpaceDE/>
        <w:autoSpaceDN/>
        <w:adjustRightInd/>
        <w:spacing w:before="0"/>
        <w:ind w:left="284" w:hanging="284"/>
        <w:jc w:val="both"/>
        <w:textAlignment w:val="auto"/>
        <w:rPr>
          <w:rFonts w:cs="Arial"/>
          <w:sz w:val="20"/>
        </w:rPr>
      </w:pPr>
      <w:r w:rsidRPr="001D6932">
        <w:rPr>
          <w:rFonts w:cs="Arial"/>
          <w:sz w:val="20"/>
        </w:rPr>
        <w:t>Des frais de livraison et de manutention initiaux ;</w:t>
      </w:r>
    </w:p>
    <w:p w14:paraId="01692F20" w14:textId="77777777" w:rsidR="001D6932" w:rsidRPr="001D6932" w:rsidRDefault="001D6932" w:rsidP="001D6932">
      <w:pPr>
        <w:pStyle w:val="Paragraphedeliste"/>
        <w:numPr>
          <w:ilvl w:val="0"/>
          <w:numId w:val="2"/>
        </w:numPr>
        <w:overflowPunct/>
        <w:autoSpaceDE/>
        <w:autoSpaceDN/>
        <w:adjustRightInd/>
        <w:spacing w:before="0"/>
        <w:ind w:left="284" w:hanging="284"/>
        <w:jc w:val="both"/>
        <w:textAlignment w:val="auto"/>
        <w:rPr>
          <w:rFonts w:cs="Arial"/>
          <w:sz w:val="20"/>
        </w:rPr>
      </w:pPr>
      <w:r w:rsidRPr="001D6932">
        <w:rPr>
          <w:rFonts w:cs="Arial"/>
          <w:sz w:val="20"/>
        </w:rPr>
        <w:t>Des frais de transport, d’installation, de montage nécessaires à la mise en état d’utilisation des biens ;</w:t>
      </w:r>
    </w:p>
    <w:p w14:paraId="3B419579" w14:textId="77777777" w:rsidR="001D6932" w:rsidRPr="001D6932" w:rsidRDefault="001D6932" w:rsidP="001D6932">
      <w:pPr>
        <w:pStyle w:val="Paragraphedeliste"/>
        <w:numPr>
          <w:ilvl w:val="0"/>
          <w:numId w:val="2"/>
        </w:numPr>
        <w:overflowPunct/>
        <w:autoSpaceDE/>
        <w:autoSpaceDN/>
        <w:adjustRightInd/>
        <w:spacing w:before="0"/>
        <w:ind w:left="284" w:hanging="284"/>
        <w:jc w:val="both"/>
        <w:textAlignment w:val="auto"/>
        <w:rPr>
          <w:rFonts w:cs="Arial"/>
          <w:sz w:val="20"/>
        </w:rPr>
      </w:pPr>
      <w:r w:rsidRPr="001D6932">
        <w:rPr>
          <w:rFonts w:cs="Arial"/>
          <w:sz w:val="20"/>
        </w:rPr>
        <w:t>Des coûts liés aux essais de bon fonctionnement, déduction faite des revenus nets provenant de la vente des produits obtenus durant la mise en service (tels que des échantillons) ;</w:t>
      </w:r>
    </w:p>
    <w:p w14:paraId="5E101B4C" w14:textId="77777777" w:rsidR="001D6932" w:rsidRPr="001D6932" w:rsidRDefault="001D6932" w:rsidP="001D6932">
      <w:pPr>
        <w:pStyle w:val="Paragraphedeliste"/>
        <w:numPr>
          <w:ilvl w:val="0"/>
          <w:numId w:val="2"/>
        </w:numPr>
        <w:overflowPunct/>
        <w:autoSpaceDE/>
        <w:autoSpaceDN/>
        <w:adjustRightInd/>
        <w:spacing w:before="0"/>
        <w:ind w:left="284" w:hanging="284"/>
        <w:jc w:val="both"/>
        <w:textAlignment w:val="auto"/>
        <w:rPr>
          <w:rFonts w:cs="Arial"/>
          <w:sz w:val="20"/>
        </w:rPr>
      </w:pPr>
      <w:r w:rsidRPr="001D6932">
        <w:rPr>
          <w:rFonts w:cs="Arial"/>
          <w:sz w:val="20"/>
        </w:rPr>
        <w:t>Des honoraires des professionnels tels que les architectes, géomètres, experts, évaluateurs, conseils.</w:t>
      </w:r>
    </w:p>
    <w:p w14:paraId="2AF41DD5" w14:textId="77777777" w:rsidR="001D6932" w:rsidRPr="001D6932" w:rsidRDefault="001D6932" w:rsidP="001D6932">
      <w:pPr>
        <w:tabs>
          <w:tab w:val="left" w:pos="6829"/>
          <w:tab w:val="left" w:pos="8413"/>
        </w:tabs>
        <w:spacing w:before="60" w:after="60"/>
        <w:rPr>
          <w:sz w:val="20"/>
          <w:szCs w:val="18"/>
        </w:rPr>
      </w:pPr>
    </w:p>
    <w:p w14:paraId="72294B71" w14:textId="77777777" w:rsidR="001D6932" w:rsidRPr="001D6932" w:rsidRDefault="001D6932" w:rsidP="001D6932">
      <w:pPr>
        <w:tabs>
          <w:tab w:val="left" w:pos="6829"/>
          <w:tab w:val="left" w:pos="8413"/>
        </w:tabs>
        <w:spacing w:before="60" w:after="60"/>
        <w:rPr>
          <w:sz w:val="20"/>
          <w:szCs w:val="18"/>
        </w:rPr>
      </w:pPr>
    </w:p>
    <w:p w14:paraId="469D27EF" w14:textId="65F9E029" w:rsidR="00C425DF" w:rsidRDefault="00C425DF"/>
    <w:p w14:paraId="3E19700B" w14:textId="70EC2617" w:rsidR="003813E2" w:rsidRDefault="003813E2"/>
    <w:p w14:paraId="2E7E473A" w14:textId="3D7F541D" w:rsidR="003813E2" w:rsidRDefault="003813E2"/>
    <w:p w14:paraId="7CC9572C" w14:textId="35DB3700" w:rsidR="00C425DF" w:rsidRDefault="001D6932" w:rsidP="00C425DF">
      <w:pPr>
        <w:rPr>
          <w:rFonts w:cs="Arial"/>
          <w:b/>
          <w:sz w:val="24"/>
        </w:rPr>
      </w:pPr>
      <w:r>
        <w:rPr>
          <w:rFonts w:cs="Arial"/>
          <w:b/>
          <w:sz w:val="24"/>
        </w:rPr>
        <w:lastRenderedPageBreak/>
        <w:t>Réponses</w:t>
      </w:r>
    </w:p>
    <w:p w14:paraId="35D9B8E4" w14:textId="77777777" w:rsidR="001D6932" w:rsidRPr="00C425DF" w:rsidRDefault="001D6932" w:rsidP="00C425DF">
      <w:pPr>
        <w:rPr>
          <w:rFonts w:cs="Arial"/>
          <w:b/>
          <w:sz w:val="24"/>
        </w:rPr>
      </w:pPr>
    </w:p>
    <w:p w14:paraId="641DB2A5" w14:textId="77777777" w:rsidR="00C425DF" w:rsidRPr="001D6932" w:rsidRDefault="00540B6E" w:rsidP="001D6932">
      <w:pPr>
        <w:pStyle w:val="Paragraphedeliste"/>
        <w:numPr>
          <w:ilvl w:val="0"/>
          <w:numId w:val="3"/>
        </w:numPr>
        <w:spacing w:before="0"/>
        <w:rPr>
          <w:b/>
          <w:szCs w:val="18"/>
        </w:rPr>
      </w:pPr>
      <w:r w:rsidRPr="001D6932">
        <w:rPr>
          <w:b/>
          <w:szCs w:val="18"/>
        </w:rPr>
        <w:t>Où doivent apparaî</w:t>
      </w:r>
      <w:r w:rsidR="00C425DF" w:rsidRPr="001D6932">
        <w:rPr>
          <w:b/>
          <w:szCs w:val="18"/>
        </w:rPr>
        <w:t>tre les immobilisations ?</w:t>
      </w:r>
    </w:p>
    <w:p w14:paraId="625B5588" w14:textId="77777777" w:rsidR="00C425DF" w:rsidRPr="001D6932" w:rsidRDefault="00C425DF" w:rsidP="00C425DF">
      <w:pPr>
        <w:spacing w:before="0"/>
        <w:rPr>
          <w:b/>
          <w:szCs w:val="18"/>
        </w:rPr>
      </w:pPr>
    </w:p>
    <w:p w14:paraId="64ED2A54" w14:textId="37DFEDDE" w:rsidR="00C425DF" w:rsidRDefault="00C425DF" w:rsidP="00C425DF">
      <w:pPr>
        <w:spacing w:before="0"/>
        <w:rPr>
          <w:b/>
          <w:szCs w:val="18"/>
        </w:rPr>
      </w:pPr>
    </w:p>
    <w:p w14:paraId="24B533F8" w14:textId="77777777" w:rsidR="0095319B" w:rsidRPr="001D6932" w:rsidRDefault="0095319B" w:rsidP="00C425DF">
      <w:pPr>
        <w:spacing w:before="0"/>
        <w:rPr>
          <w:b/>
          <w:szCs w:val="18"/>
        </w:rPr>
      </w:pPr>
    </w:p>
    <w:p w14:paraId="797DD63E" w14:textId="77777777" w:rsidR="00C425DF" w:rsidRPr="001D6932" w:rsidRDefault="00C425DF" w:rsidP="001D6932">
      <w:pPr>
        <w:pStyle w:val="Paragraphedeliste"/>
        <w:numPr>
          <w:ilvl w:val="0"/>
          <w:numId w:val="3"/>
        </w:numPr>
        <w:spacing w:before="0"/>
        <w:rPr>
          <w:b/>
          <w:szCs w:val="18"/>
        </w:rPr>
      </w:pPr>
      <w:r w:rsidRPr="001D6932">
        <w:rPr>
          <w:b/>
          <w:szCs w:val="18"/>
        </w:rPr>
        <w:t xml:space="preserve">Les immobilisations reçues à titre </w:t>
      </w:r>
      <w:r w:rsidR="00540B6E" w:rsidRPr="001D6932">
        <w:rPr>
          <w:b/>
          <w:szCs w:val="18"/>
        </w:rPr>
        <w:t xml:space="preserve">gratuit </w:t>
      </w:r>
      <w:r w:rsidR="0065598E" w:rsidRPr="001D6932">
        <w:rPr>
          <w:b/>
          <w:szCs w:val="18"/>
        </w:rPr>
        <w:t>par l’entreprise</w:t>
      </w:r>
      <w:r w:rsidR="00540B6E" w:rsidRPr="001D6932">
        <w:rPr>
          <w:b/>
          <w:szCs w:val="18"/>
        </w:rPr>
        <w:t xml:space="preserve"> doivent-</w:t>
      </w:r>
      <w:r w:rsidRPr="001D6932">
        <w:rPr>
          <w:b/>
          <w:szCs w:val="18"/>
        </w:rPr>
        <w:t>elle</w:t>
      </w:r>
      <w:r w:rsidR="00540B6E" w:rsidRPr="001D6932">
        <w:rPr>
          <w:b/>
          <w:szCs w:val="18"/>
        </w:rPr>
        <w:t>s</w:t>
      </w:r>
      <w:r w:rsidRPr="001D6932">
        <w:rPr>
          <w:b/>
          <w:szCs w:val="18"/>
        </w:rPr>
        <w:t xml:space="preserve"> y appara</w:t>
      </w:r>
      <w:r w:rsidR="0065598E" w:rsidRPr="001D6932">
        <w:rPr>
          <w:b/>
          <w:szCs w:val="18"/>
        </w:rPr>
        <w:t>î</w:t>
      </w:r>
      <w:r w:rsidRPr="001D6932">
        <w:rPr>
          <w:b/>
          <w:szCs w:val="18"/>
        </w:rPr>
        <w:t>tre ?</w:t>
      </w:r>
    </w:p>
    <w:p w14:paraId="6B9100C8" w14:textId="04F0F5C9" w:rsidR="00C425DF" w:rsidRPr="001D6932" w:rsidRDefault="00C425DF" w:rsidP="00C425DF">
      <w:pPr>
        <w:pStyle w:val="Paragraphedeliste"/>
        <w:rPr>
          <w:b/>
          <w:szCs w:val="18"/>
        </w:rPr>
      </w:pPr>
    </w:p>
    <w:p w14:paraId="2B11D3DF" w14:textId="77777777" w:rsidR="003813E2" w:rsidRPr="001D6932" w:rsidRDefault="003813E2" w:rsidP="00C425DF">
      <w:pPr>
        <w:pStyle w:val="Paragraphedeliste"/>
        <w:rPr>
          <w:b/>
          <w:szCs w:val="18"/>
        </w:rPr>
      </w:pPr>
    </w:p>
    <w:p w14:paraId="34D7E707" w14:textId="77777777" w:rsidR="00C425DF" w:rsidRPr="001D6932" w:rsidRDefault="00C425DF" w:rsidP="00C425DF">
      <w:pPr>
        <w:spacing w:before="0"/>
        <w:rPr>
          <w:b/>
          <w:szCs w:val="18"/>
        </w:rPr>
      </w:pPr>
    </w:p>
    <w:p w14:paraId="59C6C072" w14:textId="77777777" w:rsidR="00C425DF" w:rsidRPr="001D6932" w:rsidRDefault="00C425DF" w:rsidP="001D6932">
      <w:pPr>
        <w:pStyle w:val="Paragraphedeliste"/>
        <w:numPr>
          <w:ilvl w:val="0"/>
          <w:numId w:val="3"/>
        </w:numPr>
        <w:spacing w:before="0"/>
        <w:rPr>
          <w:b/>
          <w:szCs w:val="18"/>
        </w:rPr>
      </w:pPr>
      <w:r w:rsidRPr="001D6932">
        <w:rPr>
          <w:b/>
          <w:szCs w:val="18"/>
        </w:rPr>
        <w:t>P</w:t>
      </w:r>
      <w:r w:rsidR="00540B6E" w:rsidRPr="001D6932">
        <w:rPr>
          <w:b/>
          <w:szCs w:val="18"/>
        </w:rPr>
        <w:t>our quelle valeur doivent-</w:t>
      </w:r>
      <w:r w:rsidRPr="001D6932">
        <w:rPr>
          <w:b/>
          <w:szCs w:val="18"/>
        </w:rPr>
        <w:t>elle</w:t>
      </w:r>
      <w:r w:rsidR="00881D81" w:rsidRPr="001D6932">
        <w:rPr>
          <w:b/>
          <w:szCs w:val="18"/>
        </w:rPr>
        <w:t>s</w:t>
      </w:r>
      <w:r w:rsidRPr="001D6932">
        <w:rPr>
          <w:b/>
          <w:szCs w:val="18"/>
        </w:rPr>
        <w:t xml:space="preserve"> y appara</w:t>
      </w:r>
      <w:r w:rsidR="0065598E" w:rsidRPr="001D6932">
        <w:rPr>
          <w:b/>
          <w:szCs w:val="18"/>
        </w:rPr>
        <w:t>î</w:t>
      </w:r>
      <w:r w:rsidRPr="001D6932">
        <w:rPr>
          <w:b/>
          <w:szCs w:val="18"/>
        </w:rPr>
        <w:t>tre ?</w:t>
      </w:r>
    </w:p>
    <w:p w14:paraId="38D1CB80" w14:textId="77777777" w:rsidR="00C425DF" w:rsidRPr="001D6932" w:rsidRDefault="00C425DF" w:rsidP="00C425DF">
      <w:pPr>
        <w:spacing w:before="0"/>
        <w:rPr>
          <w:b/>
          <w:szCs w:val="18"/>
        </w:rPr>
      </w:pPr>
    </w:p>
    <w:p w14:paraId="6378D187" w14:textId="32EBDF8E" w:rsidR="00C425DF" w:rsidRPr="001D6932" w:rsidRDefault="00C425DF" w:rsidP="00C425DF">
      <w:pPr>
        <w:spacing w:before="0"/>
        <w:rPr>
          <w:b/>
          <w:szCs w:val="18"/>
        </w:rPr>
      </w:pPr>
    </w:p>
    <w:p w14:paraId="1DEC1511" w14:textId="77777777" w:rsidR="003813E2" w:rsidRPr="001D6932" w:rsidRDefault="003813E2" w:rsidP="00C425DF">
      <w:pPr>
        <w:spacing w:before="0"/>
        <w:rPr>
          <w:b/>
          <w:szCs w:val="18"/>
        </w:rPr>
      </w:pPr>
    </w:p>
    <w:p w14:paraId="2D0B14B1" w14:textId="77777777" w:rsidR="00C425DF" w:rsidRPr="001D6932" w:rsidRDefault="0065598E" w:rsidP="001D6932">
      <w:pPr>
        <w:pStyle w:val="Paragraphedeliste"/>
        <w:numPr>
          <w:ilvl w:val="0"/>
          <w:numId w:val="3"/>
        </w:numPr>
        <w:spacing w:before="0"/>
        <w:rPr>
          <w:b/>
          <w:szCs w:val="18"/>
        </w:rPr>
      </w:pPr>
      <w:r w:rsidRPr="001D6932">
        <w:rPr>
          <w:b/>
          <w:szCs w:val="18"/>
        </w:rPr>
        <w:t>Qu’inclut</w:t>
      </w:r>
      <w:r w:rsidR="00C425DF" w:rsidRPr="001D6932">
        <w:rPr>
          <w:b/>
          <w:szCs w:val="18"/>
        </w:rPr>
        <w:t xml:space="preserve"> le coût d’acquisition d’une immobilisation ?</w:t>
      </w:r>
    </w:p>
    <w:p w14:paraId="1D258C51" w14:textId="77777777" w:rsidR="00C425DF" w:rsidRPr="00C425DF" w:rsidRDefault="00C425DF">
      <w:pPr>
        <w:rPr>
          <w:sz w:val="24"/>
        </w:rPr>
      </w:pPr>
    </w:p>
    <w:sectPr w:rsidR="00C425DF" w:rsidRPr="00C425DF" w:rsidSect="003813E2">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F2EE6"/>
    <w:multiLevelType w:val="hybridMultilevel"/>
    <w:tmpl w:val="C108DB5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6BB26A70"/>
    <w:multiLevelType w:val="hybridMultilevel"/>
    <w:tmpl w:val="515E0788"/>
    <w:lvl w:ilvl="0" w:tplc="CB9A586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C862485"/>
    <w:multiLevelType w:val="hybridMultilevel"/>
    <w:tmpl w:val="383EF602"/>
    <w:lvl w:ilvl="0" w:tplc="728281D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645232211">
    <w:abstractNumId w:val="0"/>
  </w:num>
  <w:num w:numId="2" w16cid:durableId="1914242279">
    <w:abstractNumId w:val="2"/>
  </w:num>
  <w:num w:numId="3" w16cid:durableId="929460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C3"/>
    <w:rsid w:val="001D6932"/>
    <w:rsid w:val="002D1B55"/>
    <w:rsid w:val="003813E2"/>
    <w:rsid w:val="00540B6E"/>
    <w:rsid w:val="0065598E"/>
    <w:rsid w:val="00754AC3"/>
    <w:rsid w:val="00881D81"/>
    <w:rsid w:val="00905C1F"/>
    <w:rsid w:val="0095319B"/>
    <w:rsid w:val="00B0189A"/>
    <w:rsid w:val="00C425DF"/>
    <w:rsid w:val="00C54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77E9"/>
  <w15:chartTrackingRefBased/>
  <w15:docId w15:val="{54D7CC62-3538-4119-A1C0-9C7983AD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AC3"/>
    <w:pPr>
      <w:overflowPunct w:val="0"/>
      <w:autoSpaceDE w:val="0"/>
      <w:autoSpaceDN w:val="0"/>
      <w:adjustRightInd w:val="0"/>
      <w:spacing w:before="120" w:after="0" w:line="240" w:lineRule="auto"/>
      <w:textAlignment w:val="baseline"/>
    </w:pPr>
    <w:rPr>
      <w:rFonts w:ascii="Arial" w:eastAsia="Times New Roman" w:hAnsi="Arial" w:cs="Times New Roman"/>
      <w:szCs w:val="20"/>
      <w:lang w:eastAsia="fr-FR"/>
    </w:rPr>
  </w:style>
  <w:style w:type="paragraph" w:styleId="Titre2">
    <w:name w:val="heading 2"/>
    <w:basedOn w:val="Normal"/>
    <w:next w:val="Normal"/>
    <w:link w:val="Titre2Car"/>
    <w:qFormat/>
    <w:rsid w:val="00754AC3"/>
    <w:pPr>
      <w:keepNext/>
      <w:outlineLvl w:val="1"/>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54AC3"/>
    <w:rPr>
      <w:rFonts w:ascii="Arial" w:eastAsia="Times New Roman" w:hAnsi="Arial" w:cs="Times New Roman"/>
      <w:b/>
      <w:bCs/>
      <w:sz w:val="28"/>
      <w:szCs w:val="20"/>
      <w:lang w:eastAsia="fr-FR"/>
    </w:rPr>
  </w:style>
  <w:style w:type="paragraph" w:styleId="Paragraphedeliste">
    <w:name w:val="List Paragraph"/>
    <w:basedOn w:val="Normal"/>
    <w:uiPriority w:val="34"/>
    <w:qFormat/>
    <w:rsid w:val="00754AC3"/>
    <w:pPr>
      <w:ind w:left="708"/>
    </w:pPr>
  </w:style>
  <w:style w:type="character" w:styleId="Lienhypertexte">
    <w:name w:val="Hyperlink"/>
    <w:uiPriority w:val="99"/>
    <w:unhideWhenUsed/>
    <w:rsid w:val="00754A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hyperlink" Target="http://bofip.impots.gouv.fr/bofip/2102-PGP.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legifrance.gouv.fr/affichCodeArticle.do?idArticle=LEGIARTI000006296549&amp;cidTexte=LEGITEXT000006069574&amp;dateTexte=20070419&amp;fastPos=9&amp;fastReqId=479345776&amp;oldAction=rechCodeArticl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nc.gouv.fr/sections/normes_privees/plans_comptables/plan_comptable/downloadFile/file/pcg_maj0712.pdf?nocache=1256807128.81" TargetMode="Externa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www.anc.gouv.fr/sections/normes_privees/plans_comptables/plan_comptable/downloadFile/file/pcg_maj0712.pdf?nocache=1256807128.81" TargetMode="External"/><Relationship Id="rId5" Type="http://schemas.openxmlformats.org/officeDocument/2006/relationships/image" Target="media/image1.png"/><Relationship Id="rId15" Type="http://schemas.openxmlformats.org/officeDocument/2006/relationships/hyperlink" Target="http://www.legifrance.gouv.fr/affichCodeArticle.do?idArticle=LEGIARTI000006296549&amp;cidTexte=LEGITEXT000006069574&amp;dateTexte=20070419&amp;fastPos=9&amp;fastReqId=479345776&amp;oldAction=rechCodeArticle" TargetMode="External"/><Relationship Id="rId10" Type="http://schemas.openxmlformats.org/officeDocument/2006/relationships/hyperlink" Target="http://www.legifrance.gouv.fr/affichCodeArticle.do?idArticle=LEGIARTI000006296549&amp;cidTexte=LEGITEXT000006069574&amp;dateTexte=20070419&amp;fastPos=9&amp;fastReqId=479345776&amp;oldAction=rechCodeArticle" TargetMode="External"/><Relationship Id="rId4" Type="http://schemas.openxmlformats.org/officeDocument/2006/relationships/webSettings" Target="webSettings.xml"/><Relationship Id="rId9" Type="http://schemas.openxmlformats.org/officeDocument/2006/relationships/hyperlink" Target="http://bofip.impots.gouv.fr/" TargetMode="External"/><Relationship Id="rId14" Type="http://schemas.openxmlformats.org/officeDocument/2006/relationships/hyperlink" Target="http://bofip.impots.gouv.fr/bofip/4813-PGP.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790</Words>
  <Characters>4346</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11</cp:revision>
  <dcterms:created xsi:type="dcterms:W3CDTF">2015-11-24T10:07:00Z</dcterms:created>
  <dcterms:modified xsi:type="dcterms:W3CDTF">2023-02-10T19:19:00Z</dcterms:modified>
</cp:coreProperties>
</file>