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992"/>
      </w:tblGrid>
      <w:tr w:rsidR="00A844F6" w:rsidRPr="00C22356" w14:paraId="741DB1D9" w14:textId="77777777" w:rsidTr="0016667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0A8BB13" w14:textId="77777777" w:rsidR="00A844F6" w:rsidRPr="00493881" w:rsidRDefault="00A844F6" w:rsidP="00166679">
            <w:pPr>
              <w:pStyle w:val="Titre2"/>
              <w:spacing w:after="120"/>
              <w:jc w:val="center"/>
              <w:rPr>
                <w:rFonts w:cs="Arial"/>
                <w:szCs w:val="22"/>
              </w:rPr>
            </w:pPr>
            <w:r w:rsidRPr="00493881">
              <w:rPr>
                <w:rFonts w:cs="Arial"/>
                <w:szCs w:val="22"/>
              </w:rPr>
              <w:t>Réflexion 1 - Distinguer les charges des immobilisations</w:t>
            </w:r>
          </w:p>
        </w:tc>
      </w:tr>
      <w:tr w:rsidR="00A844F6" w:rsidRPr="00C63932" w14:paraId="3EB4170A" w14:textId="77777777" w:rsidTr="00166679">
        <w:trPr>
          <w:trHeight w:val="267"/>
        </w:trPr>
        <w:tc>
          <w:tcPr>
            <w:tcW w:w="1271" w:type="dxa"/>
            <w:shd w:val="clear" w:color="auto" w:fill="FFFF00"/>
            <w:vAlign w:val="center"/>
          </w:tcPr>
          <w:p w14:paraId="323CCBE4" w14:textId="03299E77" w:rsidR="00A844F6" w:rsidRPr="00C63932" w:rsidRDefault="00A844F6" w:rsidP="00166679">
            <w:pPr>
              <w:spacing w:before="0"/>
              <w:rPr>
                <w:bCs/>
                <w:i/>
                <w:sz w:val="20"/>
                <w:szCs w:val="18"/>
              </w:rPr>
            </w:pPr>
            <w:r w:rsidRPr="00C63932">
              <w:rPr>
                <w:bCs/>
                <w:sz w:val="20"/>
                <w:szCs w:val="18"/>
              </w:rPr>
              <w:t xml:space="preserve">Durée : </w:t>
            </w:r>
            <w:r w:rsidR="004C0CAD">
              <w:rPr>
                <w:bCs/>
                <w:sz w:val="20"/>
                <w:szCs w:val="18"/>
              </w:rPr>
              <w:t>20</w:t>
            </w:r>
            <w:r w:rsidRPr="00C63932">
              <w:rPr>
                <w:bCs/>
                <w:sz w:val="20"/>
                <w:szCs w:val="18"/>
              </w:rPr>
              <w:t>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6166BF9F" w14:textId="77777777" w:rsidR="00A844F6" w:rsidRPr="00C63932" w:rsidRDefault="00A844F6" w:rsidP="00166679">
            <w:pPr>
              <w:spacing w:before="0"/>
              <w:jc w:val="center"/>
              <w:rPr>
                <w:bCs/>
                <w:i/>
                <w:sz w:val="20"/>
                <w:szCs w:val="18"/>
              </w:rPr>
            </w:pPr>
            <w:r w:rsidRPr="00C63932">
              <w:rPr>
                <w:bCs/>
                <w:i/>
                <w:noProof/>
                <w:sz w:val="20"/>
                <w:szCs w:val="18"/>
              </w:rPr>
              <w:drawing>
                <wp:inline distT="0" distB="0" distL="0" distR="0" wp14:anchorId="151FED23" wp14:editId="04D9099F">
                  <wp:extent cx="324000" cy="324000"/>
                  <wp:effectExtent l="0" t="0" r="0" b="0"/>
                  <wp:docPr id="1034" name="Graphique 103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3932">
              <w:rPr>
                <w:bCs/>
                <w:iCs/>
                <w:sz w:val="20"/>
                <w:szCs w:val="18"/>
              </w:rPr>
              <w:t>ou</w:t>
            </w:r>
            <w:r w:rsidRPr="00C63932">
              <w:rPr>
                <w:bCs/>
                <w:i/>
                <w:noProof/>
                <w:sz w:val="20"/>
                <w:szCs w:val="18"/>
              </w:rPr>
              <w:drawing>
                <wp:inline distT="0" distB="0" distL="0" distR="0" wp14:anchorId="1552CB31" wp14:editId="2449D3A5">
                  <wp:extent cx="360000" cy="360000"/>
                  <wp:effectExtent l="0" t="0" r="0" b="2540"/>
                  <wp:docPr id="1035" name="Graphique 103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DD20FC7" w14:textId="77777777" w:rsidR="00A844F6" w:rsidRPr="00C63932" w:rsidRDefault="00A844F6" w:rsidP="00166679">
            <w:pPr>
              <w:spacing w:before="0"/>
              <w:jc w:val="center"/>
              <w:rPr>
                <w:bCs/>
                <w:i/>
                <w:sz w:val="20"/>
                <w:szCs w:val="18"/>
              </w:rPr>
            </w:pPr>
            <w:r w:rsidRPr="00C63932">
              <w:rPr>
                <w:bCs/>
                <w:iCs/>
                <w:sz w:val="20"/>
                <w:szCs w:val="18"/>
              </w:rPr>
              <w:t>Source</w:t>
            </w:r>
          </w:p>
        </w:tc>
      </w:tr>
    </w:tbl>
    <w:p w14:paraId="1DE4BAFE" w14:textId="77777777" w:rsidR="00A844F6" w:rsidRPr="00F03276" w:rsidRDefault="00A844F6" w:rsidP="00A844F6">
      <w:pPr>
        <w:rPr>
          <w:rFonts w:cs="Arial"/>
          <w:b/>
          <w:sz w:val="24"/>
          <w:szCs w:val="24"/>
        </w:rPr>
      </w:pPr>
      <w:r w:rsidRPr="00F03276">
        <w:rPr>
          <w:rFonts w:cs="Arial"/>
          <w:b/>
          <w:sz w:val="24"/>
          <w:szCs w:val="24"/>
        </w:rPr>
        <w:t>Travail à faire</w:t>
      </w:r>
    </w:p>
    <w:p w14:paraId="6AE66C60" w14:textId="77777777" w:rsidR="00A844F6" w:rsidRPr="00F03276" w:rsidRDefault="00A844F6" w:rsidP="00A844F6">
      <w:pPr>
        <w:spacing w:after="60"/>
        <w:rPr>
          <w:rFonts w:cs="Arial"/>
          <w:bCs/>
        </w:rPr>
      </w:pPr>
      <w:r>
        <w:rPr>
          <w:rFonts w:cs="Arial"/>
          <w:bCs/>
        </w:rPr>
        <w:t xml:space="preserve">Après avoir lu le </w:t>
      </w:r>
      <w:r w:rsidRPr="00C942E5">
        <w:rPr>
          <w:rFonts w:cs="Arial"/>
          <w:b/>
        </w:rPr>
        <w:t>document</w:t>
      </w:r>
      <w:r>
        <w:rPr>
          <w:rFonts w:cs="Arial"/>
          <w:bCs/>
        </w:rPr>
        <w:t xml:space="preserve">, </w:t>
      </w:r>
      <w:r w:rsidRPr="00F03276">
        <w:rPr>
          <w:rFonts w:cs="Arial"/>
          <w:bCs/>
        </w:rPr>
        <w:t>répondez aux questions suivantes :</w:t>
      </w:r>
    </w:p>
    <w:p w14:paraId="24D8915E" w14:textId="77777777" w:rsidR="00A844F6" w:rsidRPr="00F03276" w:rsidRDefault="00A844F6" w:rsidP="00A844F6">
      <w:pPr>
        <w:pStyle w:val="Paragraphedeliste"/>
        <w:numPr>
          <w:ilvl w:val="0"/>
          <w:numId w:val="2"/>
        </w:numPr>
        <w:spacing w:before="0"/>
        <w:rPr>
          <w:bCs/>
        </w:rPr>
      </w:pPr>
      <w:r w:rsidRPr="00F03276">
        <w:rPr>
          <w:bCs/>
        </w:rPr>
        <w:t>Qu’est-ce qui distingue une immobilisation d’une charge ?</w:t>
      </w:r>
    </w:p>
    <w:p w14:paraId="234D8B9B" w14:textId="77777777" w:rsidR="00A844F6" w:rsidRPr="00F03276" w:rsidRDefault="00A844F6" w:rsidP="00A844F6">
      <w:pPr>
        <w:pStyle w:val="Paragraphedeliste"/>
        <w:numPr>
          <w:ilvl w:val="0"/>
          <w:numId w:val="2"/>
        </w:numPr>
        <w:spacing w:before="0"/>
        <w:rPr>
          <w:bCs/>
        </w:rPr>
      </w:pPr>
      <w:r w:rsidRPr="00F03276">
        <w:rPr>
          <w:bCs/>
        </w:rPr>
        <w:t>Quelle différence de traitement y a-t-il entre une charge et une immobilisation ?</w:t>
      </w:r>
    </w:p>
    <w:p w14:paraId="70F18595" w14:textId="77777777" w:rsidR="00A844F6" w:rsidRPr="00F03276" w:rsidRDefault="00A844F6" w:rsidP="00A844F6">
      <w:pPr>
        <w:pStyle w:val="Paragraphedeliste"/>
        <w:numPr>
          <w:ilvl w:val="0"/>
          <w:numId w:val="2"/>
        </w:numPr>
        <w:spacing w:before="0"/>
        <w:rPr>
          <w:bCs/>
        </w:rPr>
      </w:pPr>
      <w:r w:rsidRPr="00F03276">
        <w:rPr>
          <w:bCs/>
        </w:rPr>
        <w:t>Quelle dérogation est soulevé par cet article ?</w:t>
      </w:r>
    </w:p>
    <w:p w14:paraId="7C9EA1E2" w14:textId="77777777" w:rsidR="00A844F6" w:rsidRDefault="00A844F6" w:rsidP="00A844F6">
      <w:pPr>
        <w:pStyle w:val="Paragraphedeliste"/>
        <w:numPr>
          <w:ilvl w:val="0"/>
          <w:numId w:val="2"/>
        </w:numPr>
        <w:spacing w:before="0"/>
        <w:jc w:val="both"/>
        <w:rPr>
          <w:bCs/>
        </w:rPr>
      </w:pPr>
      <w:r w:rsidRPr="00F03276">
        <w:rPr>
          <w:bCs/>
        </w:rPr>
        <w:t>Vous achetez 2 bureaux pour 900 € HT. Pouvez-vous les enregistrer en charges ?</w:t>
      </w:r>
    </w:p>
    <w:p w14:paraId="6CB54593" w14:textId="77777777" w:rsidR="00A844F6" w:rsidRPr="00C942E5" w:rsidRDefault="00A844F6" w:rsidP="00A844F6">
      <w:pPr>
        <w:pStyle w:val="Paragraphedeliste"/>
        <w:numPr>
          <w:ilvl w:val="0"/>
          <w:numId w:val="2"/>
        </w:numPr>
        <w:spacing w:before="0"/>
        <w:jc w:val="both"/>
        <w:rPr>
          <w:bCs/>
        </w:rPr>
      </w:pPr>
      <w:r w:rsidRPr="00C942E5">
        <w:rPr>
          <w:rFonts w:cs="Arial"/>
          <w:bCs/>
        </w:rPr>
        <w:t>E</w:t>
      </w:r>
      <w:r w:rsidRPr="00C942E5">
        <w:rPr>
          <w:bCs/>
        </w:rPr>
        <w:t>ffectue</w:t>
      </w:r>
      <w:r>
        <w:rPr>
          <w:bCs/>
        </w:rPr>
        <w:t>z</w:t>
      </w:r>
      <w:r w:rsidRPr="00C942E5">
        <w:rPr>
          <w:bCs/>
        </w:rPr>
        <w:t xml:space="preserve"> une classification des dépenses suivantes d’une entreprise de bâtiment</w:t>
      </w:r>
      <w:r>
        <w:rPr>
          <w:bCs/>
        </w:rPr>
        <w:t>.</w:t>
      </w:r>
    </w:p>
    <w:p w14:paraId="013AF697" w14:textId="77777777" w:rsidR="00A844F6" w:rsidRPr="00C942E5" w:rsidRDefault="00A844F6" w:rsidP="00A844F6">
      <w:pPr>
        <w:pStyle w:val="Paragraphedeliste"/>
        <w:numPr>
          <w:ilvl w:val="0"/>
          <w:numId w:val="2"/>
        </w:numPr>
        <w:spacing w:before="0"/>
        <w:jc w:val="both"/>
        <w:rPr>
          <w:bCs/>
        </w:rPr>
      </w:pPr>
      <w:r w:rsidRPr="00C942E5">
        <w:rPr>
          <w:bCs/>
        </w:rPr>
        <w:t>La classification serait-elle identique pour une société qui commercialise du matériel informatique ?</w:t>
      </w:r>
    </w:p>
    <w:p w14:paraId="4E12BEC5" w14:textId="77777777" w:rsidR="00A844F6" w:rsidRPr="00F870BF" w:rsidRDefault="00A844F6" w:rsidP="00A844F6">
      <w:pPr>
        <w:pStyle w:val="Paragraphedeliste"/>
        <w:spacing w:before="0"/>
        <w:ind w:left="360"/>
        <w:jc w:val="both"/>
        <w:rPr>
          <w:rFonts w:cs="Arial"/>
          <w:szCs w:val="22"/>
        </w:rPr>
      </w:pPr>
    </w:p>
    <w:p w14:paraId="402D6316" w14:textId="77777777" w:rsidR="00A844F6" w:rsidRPr="006211EC" w:rsidRDefault="00A844F6" w:rsidP="00A844F6">
      <w:pPr>
        <w:rPr>
          <w:b/>
          <w:sz w:val="24"/>
        </w:rPr>
      </w:pPr>
      <w:r w:rsidRPr="00F03276">
        <w:rPr>
          <w:b/>
          <w:color w:val="FFFFFF" w:themeColor="background1"/>
          <w:sz w:val="24"/>
          <w:highlight w:val="red"/>
        </w:rPr>
        <w:t>Doc.</w:t>
      </w:r>
      <w:r>
        <w:rPr>
          <w:b/>
          <w:color w:val="FFFFFF" w:themeColor="background1"/>
          <w:sz w:val="24"/>
          <w:highlight w:val="red"/>
        </w:rPr>
        <w:t xml:space="preserve"> 1 </w:t>
      </w:r>
      <w:r w:rsidRPr="00F03276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 xml:space="preserve"> </w:t>
      </w:r>
      <w:r w:rsidRPr="006211EC">
        <w:rPr>
          <w:b/>
          <w:sz w:val="24"/>
        </w:rPr>
        <w:t>La distinction entre les charges et les immobilisations</w:t>
      </w:r>
      <w:r>
        <w:rPr>
          <w:b/>
          <w:sz w:val="24"/>
        </w:rPr>
        <w:t xml:space="preserve"> (extrait)</w:t>
      </w:r>
    </w:p>
    <w:p w14:paraId="283F07EE" w14:textId="77777777" w:rsidR="00A844F6" w:rsidRPr="006211EC" w:rsidRDefault="00A844F6" w:rsidP="00A844F6">
      <w:pPr>
        <w:spacing w:after="120"/>
        <w:rPr>
          <w:rFonts w:cs="Arial"/>
          <w:i/>
          <w:color w:val="000000" w:themeColor="text1"/>
          <w:szCs w:val="22"/>
        </w:rPr>
      </w:pPr>
      <w:r w:rsidRPr="006211EC">
        <w:rPr>
          <w:rFonts w:cs="Arial"/>
          <w:i/>
          <w:color w:val="000000" w:themeColor="text1"/>
          <w:szCs w:val="22"/>
        </w:rPr>
        <w:t xml:space="preserve">Source : </w:t>
      </w:r>
      <w:hyperlink r:id="rId9" w:history="1">
        <w:r w:rsidRPr="00AF3967">
          <w:rPr>
            <w:rStyle w:val="Lienhypertexte"/>
            <w:rFonts w:cs="Arial"/>
            <w:i/>
            <w:color w:val="000000" w:themeColor="text1"/>
            <w:szCs w:val="22"/>
          </w:rPr>
          <w:t>http://www.compta-facile.com/</w:t>
        </w:r>
      </w:hyperlink>
      <w:r w:rsidRPr="006211EC">
        <w:rPr>
          <w:rFonts w:cs="Arial"/>
          <w:i/>
          <w:color w:val="000000" w:themeColor="text1"/>
          <w:szCs w:val="22"/>
        </w:rPr>
        <w:t xml:space="preserve"> </w:t>
      </w:r>
    </w:p>
    <w:p w14:paraId="0EAEF646" w14:textId="77777777" w:rsidR="00A844F6" w:rsidRPr="006211EC" w:rsidRDefault="00A844F6" w:rsidP="00A844F6">
      <w:pPr>
        <w:jc w:val="both"/>
        <w:rPr>
          <w:sz w:val="20"/>
          <w:szCs w:val="22"/>
        </w:rPr>
      </w:pPr>
      <w:r w:rsidRPr="006211EC">
        <w:rPr>
          <w:b/>
          <w:bCs/>
          <w:sz w:val="20"/>
          <w:szCs w:val="22"/>
        </w:rPr>
        <w:t>La distinction des dépenses à comptabiliser en charges de celles à comptabiliser en immobilisations</w:t>
      </w:r>
      <w:r w:rsidRPr="006211EC">
        <w:rPr>
          <w:sz w:val="20"/>
          <w:szCs w:val="22"/>
        </w:rPr>
        <w:t xml:space="preserve"> est une source d’interrogation importante en comptabilité. Cette problématique doit être correctement traitée par l’entreprise car le choix effectué a également des conséquences fiscales.</w:t>
      </w:r>
      <w:r>
        <w:rPr>
          <w:sz w:val="20"/>
          <w:szCs w:val="22"/>
        </w:rPr>
        <w:t xml:space="preserve"> </w:t>
      </w:r>
      <w:r w:rsidRPr="006211EC">
        <w:rPr>
          <w:bCs/>
          <w:color w:val="000000" w:themeColor="text1"/>
          <w:sz w:val="20"/>
          <w:szCs w:val="22"/>
        </w:rPr>
        <w:t>[…]</w:t>
      </w:r>
    </w:p>
    <w:p w14:paraId="692A963F" w14:textId="77777777" w:rsidR="00A844F6" w:rsidRPr="006211EC" w:rsidRDefault="00A844F6" w:rsidP="00A844F6">
      <w:pPr>
        <w:spacing w:before="240"/>
        <w:rPr>
          <w:rFonts w:cs="Arial"/>
          <w:b/>
          <w:bCs/>
          <w:color w:val="000000" w:themeColor="text1"/>
          <w:szCs w:val="27"/>
        </w:rPr>
      </w:pPr>
      <w:r w:rsidRPr="006211EC">
        <w:rPr>
          <w:rFonts w:cs="Arial"/>
          <w:b/>
          <w:bCs/>
          <w:color w:val="000000" w:themeColor="text1"/>
          <w:szCs w:val="27"/>
        </w:rPr>
        <w:t>Rappels sur les charges et les immobilisations</w:t>
      </w:r>
    </w:p>
    <w:p w14:paraId="21D2DF48" w14:textId="77777777" w:rsidR="00A844F6" w:rsidRPr="006211EC" w:rsidRDefault="00A844F6" w:rsidP="00A844F6">
      <w:pPr>
        <w:jc w:val="both"/>
        <w:rPr>
          <w:rFonts w:cs="Arial"/>
          <w:color w:val="000000" w:themeColor="text1"/>
          <w:sz w:val="20"/>
          <w:szCs w:val="18"/>
        </w:rPr>
      </w:pPr>
      <w:r w:rsidRPr="006211EC">
        <w:rPr>
          <w:rFonts w:cs="Arial"/>
          <w:color w:val="000000" w:themeColor="text1"/>
          <w:sz w:val="20"/>
          <w:szCs w:val="18"/>
        </w:rPr>
        <w:t xml:space="preserve">En comptabilité, une charge est un emploi qui conduit à un appauvrissement de l’entreprise, elle correspond à un bien ou un service acquis pour les besoins de son activité. Les charges sont comptabilisées dans </w:t>
      </w:r>
      <w:hyperlink r:id="rId10" w:tooltip="Les comptes de charges" w:history="1">
        <w:r w:rsidRPr="006211EC">
          <w:rPr>
            <w:rFonts w:cs="Arial"/>
            <w:color w:val="000000" w:themeColor="text1"/>
            <w:sz w:val="20"/>
            <w:szCs w:val="18"/>
          </w:rPr>
          <w:t>les comptes de classe 6</w:t>
        </w:r>
      </w:hyperlink>
      <w:r w:rsidRPr="006211EC">
        <w:rPr>
          <w:rFonts w:cs="Arial"/>
          <w:color w:val="000000" w:themeColor="text1"/>
          <w:sz w:val="20"/>
          <w:szCs w:val="18"/>
        </w:rPr>
        <w:t>.</w:t>
      </w:r>
    </w:p>
    <w:p w14:paraId="31CC9251" w14:textId="77777777" w:rsidR="00A844F6" w:rsidRPr="006211EC" w:rsidRDefault="00A844F6" w:rsidP="00A844F6">
      <w:pPr>
        <w:pStyle w:val="Paragraphedeliste"/>
        <w:numPr>
          <w:ilvl w:val="0"/>
          <w:numId w:val="1"/>
        </w:numPr>
        <w:spacing w:before="0" w:after="240"/>
        <w:rPr>
          <w:rFonts w:cs="Arial"/>
          <w:b/>
          <w:color w:val="000000" w:themeColor="text1"/>
          <w:sz w:val="20"/>
          <w:szCs w:val="18"/>
        </w:rPr>
      </w:pPr>
      <w:r w:rsidRPr="00A844F6">
        <w:rPr>
          <w:rFonts w:cs="Arial"/>
          <w:b/>
          <w:bCs/>
          <w:i/>
          <w:iCs/>
          <w:color w:val="000000" w:themeColor="text1"/>
          <w:sz w:val="20"/>
          <w:szCs w:val="18"/>
        </w:rPr>
        <w:t>Fiscalement</w:t>
      </w:r>
      <w:r w:rsidRPr="006211EC">
        <w:rPr>
          <w:rFonts w:cs="Arial"/>
          <w:b/>
          <w:i/>
          <w:iCs/>
          <w:color w:val="000000" w:themeColor="text1"/>
          <w:sz w:val="20"/>
          <w:szCs w:val="18"/>
        </w:rPr>
        <w:t>, une charge est déduite immédiatement.</w:t>
      </w:r>
    </w:p>
    <w:p w14:paraId="1015FA01" w14:textId="77777777" w:rsidR="00A844F6" w:rsidRPr="006211EC" w:rsidRDefault="00A844F6" w:rsidP="00A844F6">
      <w:pPr>
        <w:jc w:val="both"/>
        <w:rPr>
          <w:rFonts w:cs="Arial"/>
          <w:sz w:val="20"/>
          <w:szCs w:val="22"/>
        </w:rPr>
      </w:pPr>
      <w:r w:rsidRPr="006211EC">
        <w:rPr>
          <w:rFonts w:cs="Arial"/>
          <w:color w:val="000000" w:themeColor="text1"/>
          <w:sz w:val="20"/>
          <w:szCs w:val="18"/>
        </w:rPr>
        <w:t xml:space="preserve">Une immobilisation est un actif utilisé durablement par l’entreprise. </w:t>
      </w:r>
      <w:hyperlink r:id="rId11" w:tooltip="Les immobilisations comptables" w:history="1">
        <w:r w:rsidRPr="006211EC">
          <w:rPr>
            <w:rFonts w:cs="Arial"/>
            <w:color w:val="000000" w:themeColor="text1"/>
            <w:sz w:val="20"/>
            <w:szCs w:val="18"/>
          </w:rPr>
          <w:t>Les immobilisations</w:t>
        </w:r>
      </w:hyperlink>
      <w:r w:rsidRPr="006211EC">
        <w:rPr>
          <w:rFonts w:cs="Arial"/>
          <w:color w:val="000000" w:themeColor="text1"/>
          <w:sz w:val="20"/>
          <w:szCs w:val="18"/>
        </w:rPr>
        <w:t xml:space="preserve"> sont comptabilisées dans les comptes de classe 2. </w:t>
      </w:r>
      <w:r w:rsidRPr="006211EC">
        <w:rPr>
          <w:rFonts w:cs="Arial"/>
          <w:bCs/>
          <w:color w:val="000000" w:themeColor="text1"/>
          <w:sz w:val="20"/>
          <w:szCs w:val="22"/>
        </w:rPr>
        <w:t>[…]</w:t>
      </w:r>
    </w:p>
    <w:p w14:paraId="3624C444" w14:textId="77777777" w:rsidR="00A844F6" w:rsidRPr="006211EC" w:rsidRDefault="00A844F6" w:rsidP="00A844F6">
      <w:pPr>
        <w:pStyle w:val="Paragraphedeliste"/>
        <w:numPr>
          <w:ilvl w:val="0"/>
          <w:numId w:val="1"/>
        </w:numPr>
        <w:spacing w:before="0"/>
        <w:rPr>
          <w:rFonts w:cs="Arial"/>
          <w:b/>
          <w:color w:val="000000" w:themeColor="text1"/>
          <w:sz w:val="20"/>
          <w:szCs w:val="18"/>
        </w:rPr>
      </w:pPr>
      <w:r w:rsidRPr="00A844F6">
        <w:rPr>
          <w:rFonts w:cs="Arial"/>
          <w:b/>
          <w:bCs/>
          <w:i/>
          <w:iCs/>
          <w:color w:val="000000" w:themeColor="text1"/>
          <w:sz w:val="20"/>
          <w:szCs w:val="18"/>
        </w:rPr>
        <w:t>Fiscalement</w:t>
      </w:r>
      <w:r w:rsidRPr="006211EC">
        <w:rPr>
          <w:rFonts w:cs="Arial"/>
          <w:b/>
          <w:i/>
          <w:iCs/>
          <w:color w:val="000000" w:themeColor="text1"/>
          <w:sz w:val="20"/>
          <w:szCs w:val="18"/>
        </w:rPr>
        <w:t xml:space="preserve">, une immobilisation est déduite du résultat suivant le rythme de son </w:t>
      </w:r>
      <w:hyperlink r:id="rId12" w:history="1">
        <w:r w:rsidRPr="006211EC">
          <w:rPr>
            <w:rFonts w:cs="Arial"/>
            <w:b/>
            <w:i/>
            <w:iCs/>
            <w:color w:val="000000" w:themeColor="text1"/>
            <w:sz w:val="20"/>
            <w:szCs w:val="18"/>
          </w:rPr>
          <w:t>amortissement</w:t>
        </w:r>
      </w:hyperlink>
      <w:r w:rsidRPr="006211EC">
        <w:rPr>
          <w:rFonts w:cs="Arial"/>
          <w:b/>
          <w:i/>
          <w:iCs/>
          <w:color w:val="000000" w:themeColor="text1"/>
          <w:sz w:val="20"/>
          <w:szCs w:val="18"/>
        </w:rPr>
        <w:t>.</w:t>
      </w:r>
    </w:p>
    <w:p w14:paraId="3B8A3E9E" w14:textId="77777777" w:rsidR="00A844F6" w:rsidRPr="006211EC" w:rsidRDefault="00A844F6" w:rsidP="00A844F6">
      <w:pPr>
        <w:spacing w:before="240"/>
        <w:rPr>
          <w:rFonts w:cs="Arial"/>
          <w:b/>
          <w:bCs/>
          <w:color w:val="000000" w:themeColor="text1"/>
          <w:szCs w:val="27"/>
        </w:rPr>
      </w:pPr>
      <w:r w:rsidRPr="006211EC">
        <w:rPr>
          <w:rFonts w:cs="Arial"/>
          <w:b/>
          <w:bCs/>
          <w:color w:val="000000" w:themeColor="text1"/>
          <w:szCs w:val="27"/>
        </w:rPr>
        <w:t>La distinction entre les charges et les immobilisations</w:t>
      </w:r>
    </w:p>
    <w:p w14:paraId="41910C0A" w14:textId="77777777" w:rsidR="00A844F6" w:rsidRPr="006211EC" w:rsidRDefault="00A844F6" w:rsidP="00A844F6">
      <w:pPr>
        <w:rPr>
          <w:rFonts w:cs="Arial"/>
          <w:sz w:val="20"/>
          <w:szCs w:val="18"/>
        </w:rPr>
      </w:pPr>
      <w:r w:rsidRPr="006211EC">
        <w:rPr>
          <w:rFonts w:cs="Arial"/>
          <w:sz w:val="20"/>
          <w:szCs w:val="18"/>
        </w:rPr>
        <w:t>Les définitions énoncées dans le premier paragraphe permettent de classer deux types de dépenses :</w:t>
      </w:r>
    </w:p>
    <w:p w14:paraId="7487B0E6" w14:textId="77777777" w:rsidR="00A844F6" w:rsidRPr="006211EC" w:rsidRDefault="00A844F6" w:rsidP="00A844F6">
      <w:pPr>
        <w:pStyle w:val="Paragraphedeliste"/>
        <w:numPr>
          <w:ilvl w:val="0"/>
          <w:numId w:val="3"/>
        </w:numPr>
        <w:tabs>
          <w:tab w:val="clear" w:pos="360"/>
        </w:tabs>
        <w:spacing w:before="0"/>
        <w:ind w:left="284" w:hanging="284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D</w:t>
      </w:r>
      <w:r w:rsidRPr="006211EC">
        <w:rPr>
          <w:rFonts w:cs="Arial"/>
          <w:sz w:val="20"/>
          <w:szCs w:val="18"/>
        </w:rPr>
        <w:t xml:space="preserve">’un côté les biens acquis qui seront utilisés sur plusieurs exercices et qui procureront dans le futur des avantages économiques à l’entreprise, </w:t>
      </w:r>
      <w:r w:rsidRPr="006211EC">
        <w:rPr>
          <w:rFonts w:cs="Arial"/>
          <w:b/>
          <w:bCs/>
          <w:sz w:val="20"/>
          <w:szCs w:val="18"/>
        </w:rPr>
        <w:t>il s’agit des immobilisations</w:t>
      </w:r>
      <w:r w:rsidRPr="006211EC">
        <w:rPr>
          <w:rFonts w:cs="Arial"/>
          <w:sz w:val="20"/>
          <w:szCs w:val="18"/>
        </w:rPr>
        <w:t>,</w:t>
      </w:r>
    </w:p>
    <w:p w14:paraId="149A5C85" w14:textId="77777777" w:rsidR="00A844F6" w:rsidRPr="006211EC" w:rsidRDefault="00A844F6" w:rsidP="00A844F6">
      <w:pPr>
        <w:pStyle w:val="Paragraphedeliste"/>
        <w:numPr>
          <w:ilvl w:val="0"/>
          <w:numId w:val="3"/>
        </w:numPr>
        <w:tabs>
          <w:tab w:val="clear" w:pos="360"/>
        </w:tabs>
        <w:spacing w:before="0"/>
        <w:ind w:left="284" w:hanging="284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E</w:t>
      </w:r>
      <w:r w:rsidRPr="006211EC">
        <w:rPr>
          <w:rFonts w:cs="Arial"/>
          <w:sz w:val="20"/>
          <w:szCs w:val="18"/>
        </w:rPr>
        <w:t xml:space="preserve">t d’un autre côté les dépenses liées à des biens ou services consommés rapidement et ne constituant pas un investissement durable pour l’entreprise, </w:t>
      </w:r>
      <w:r w:rsidRPr="006211EC">
        <w:rPr>
          <w:rFonts w:cs="Arial"/>
          <w:b/>
          <w:bCs/>
          <w:sz w:val="20"/>
          <w:szCs w:val="18"/>
        </w:rPr>
        <w:t>il s’agit des charges</w:t>
      </w:r>
      <w:r w:rsidRPr="006211EC">
        <w:rPr>
          <w:rFonts w:cs="Arial"/>
          <w:sz w:val="20"/>
          <w:szCs w:val="18"/>
        </w:rPr>
        <w:t>.</w:t>
      </w:r>
    </w:p>
    <w:p w14:paraId="00DC22A0" w14:textId="77777777" w:rsidR="00A844F6" w:rsidRPr="006211EC" w:rsidRDefault="00A844F6" w:rsidP="00A844F6">
      <w:pPr>
        <w:rPr>
          <w:rFonts w:cs="Arial"/>
          <w:b/>
          <w:sz w:val="20"/>
          <w:szCs w:val="18"/>
        </w:rPr>
      </w:pPr>
      <w:r w:rsidRPr="006211EC">
        <w:rPr>
          <w:rFonts w:cs="Arial"/>
          <w:b/>
          <w:sz w:val="20"/>
          <w:szCs w:val="18"/>
        </w:rPr>
        <w:t>Toutefois, il existe quelques dérogations et quelques points qui méritent réflexion.</w:t>
      </w:r>
      <w:r>
        <w:rPr>
          <w:rFonts w:cs="Arial"/>
          <w:b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[…]</w:t>
      </w:r>
    </w:p>
    <w:p w14:paraId="18291278" w14:textId="77777777" w:rsidR="00A844F6" w:rsidRPr="006211EC" w:rsidRDefault="00A844F6" w:rsidP="00A844F6">
      <w:pPr>
        <w:spacing w:before="240"/>
        <w:rPr>
          <w:rFonts w:cs="Arial"/>
          <w:b/>
          <w:bCs/>
          <w:color w:val="000000" w:themeColor="text1"/>
          <w:szCs w:val="27"/>
        </w:rPr>
      </w:pPr>
      <w:r w:rsidRPr="006211EC">
        <w:rPr>
          <w:rFonts w:cs="Arial"/>
          <w:b/>
          <w:bCs/>
          <w:color w:val="000000" w:themeColor="text1"/>
          <w:szCs w:val="27"/>
        </w:rPr>
        <w:t>La comptabilisation des dépenses inférieures à 500 euros hors taxes</w:t>
      </w:r>
    </w:p>
    <w:p w14:paraId="7AB63DDD" w14:textId="77777777" w:rsidR="00A844F6" w:rsidRPr="006211EC" w:rsidRDefault="00A844F6" w:rsidP="00A844F6">
      <w:pPr>
        <w:rPr>
          <w:rFonts w:cs="Arial"/>
          <w:sz w:val="20"/>
          <w:szCs w:val="22"/>
        </w:rPr>
      </w:pPr>
      <w:r w:rsidRPr="006211EC">
        <w:rPr>
          <w:rFonts w:cs="Arial"/>
          <w:sz w:val="20"/>
          <w:szCs w:val="22"/>
        </w:rPr>
        <w:t xml:space="preserve">Le plan comptable général indique que les éléments non significatifs ne doivent </w:t>
      </w:r>
      <w:r>
        <w:rPr>
          <w:rFonts w:cs="Arial"/>
          <w:sz w:val="20"/>
          <w:szCs w:val="22"/>
        </w:rPr>
        <w:t xml:space="preserve">pas </w:t>
      </w:r>
      <w:r w:rsidRPr="006211EC">
        <w:rPr>
          <w:rFonts w:cs="Arial"/>
          <w:sz w:val="20"/>
          <w:szCs w:val="22"/>
        </w:rPr>
        <w:t>obligatoirement figurer dans les éléments d’actifs, donc en immobilisation. Aucun seuil n’étant prévu pour définir un élément non significatif, il convient de se référer à ce qui est prévu fiscalement.</w:t>
      </w:r>
    </w:p>
    <w:p w14:paraId="3C703C70" w14:textId="77777777" w:rsidR="00A844F6" w:rsidRPr="006211EC" w:rsidRDefault="00A844F6" w:rsidP="00A844F6">
      <w:pPr>
        <w:pStyle w:val="Paragraphedeliste"/>
        <w:numPr>
          <w:ilvl w:val="0"/>
          <w:numId w:val="1"/>
        </w:numPr>
        <w:rPr>
          <w:rFonts w:cs="Arial"/>
          <w:color w:val="000000" w:themeColor="text1"/>
          <w:sz w:val="20"/>
          <w:szCs w:val="22"/>
        </w:rPr>
      </w:pPr>
      <w:r w:rsidRPr="00A844F6">
        <w:rPr>
          <w:rFonts w:cs="Arial"/>
          <w:b/>
          <w:bCs/>
          <w:i/>
          <w:iCs/>
          <w:color w:val="000000" w:themeColor="text1"/>
          <w:sz w:val="20"/>
          <w:szCs w:val="22"/>
        </w:rPr>
        <w:t>Fiscalement</w:t>
      </w:r>
      <w:r w:rsidRPr="006211EC">
        <w:rPr>
          <w:rFonts w:cs="Arial"/>
          <w:i/>
          <w:iCs/>
          <w:color w:val="000000" w:themeColor="text1"/>
          <w:sz w:val="20"/>
          <w:szCs w:val="22"/>
        </w:rPr>
        <w:t>, les entreprises peuvent comptabiliser en charges immédiatement déductibles les acquisitions de biens dont la valeur unitaire hors taxes n’excède pas 500 €.</w:t>
      </w:r>
    </w:p>
    <w:p w14:paraId="38CB5B32" w14:textId="77777777" w:rsidR="00A844F6" w:rsidRPr="006211EC" w:rsidRDefault="00A844F6" w:rsidP="00A844F6">
      <w:pPr>
        <w:rPr>
          <w:rFonts w:cs="Arial"/>
          <w:sz w:val="20"/>
          <w:szCs w:val="22"/>
        </w:rPr>
      </w:pPr>
      <w:r w:rsidRPr="006211EC">
        <w:rPr>
          <w:rFonts w:cs="Arial"/>
          <w:sz w:val="20"/>
          <w:szCs w:val="22"/>
        </w:rPr>
        <w:t>Toutefois, ce principe a une portée limitée : seuls les matériels et outillage suivants sont concernés par tolérance :</w:t>
      </w:r>
    </w:p>
    <w:p w14:paraId="6C766414" w14:textId="77777777" w:rsidR="00A844F6" w:rsidRPr="006211EC" w:rsidRDefault="00A844F6" w:rsidP="00A844F6">
      <w:pPr>
        <w:pStyle w:val="Paragraphedeliste"/>
        <w:numPr>
          <w:ilvl w:val="0"/>
          <w:numId w:val="4"/>
        </w:numPr>
        <w:spacing w:before="0"/>
        <w:rPr>
          <w:rFonts w:cs="Arial"/>
          <w:sz w:val="20"/>
          <w:szCs w:val="22"/>
        </w:rPr>
      </w:pPr>
      <w:r w:rsidRPr="006211EC">
        <w:rPr>
          <w:rFonts w:cs="Arial"/>
          <w:sz w:val="20"/>
          <w:szCs w:val="22"/>
        </w:rPr>
        <w:t>les matériels et outillage comptabilisés dans les comptes 2154 et 2155,</w:t>
      </w:r>
    </w:p>
    <w:p w14:paraId="14EA4815" w14:textId="77777777" w:rsidR="00A844F6" w:rsidRPr="006211EC" w:rsidRDefault="00A844F6" w:rsidP="00A844F6">
      <w:pPr>
        <w:pStyle w:val="Paragraphedeliste"/>
        <w:numPr>
          <w:ilvl w:val="0"/>
          <w:numId w:val="4"/>
        </w:numPr>
        <w:spacing w:before="0"/>
        <w:rPr>
          <w:rFonts w:cs="Arial"/>
          <w:sz w:val="20"/>
          <w:szCs w:val="22"/>
        </w:rPr>
      </w:pPr>
      <w:r w:rsidRPr="006211EC">
        <w:rPr>
          <w:rFonts w:cs="Arial"/>
          <w:sz w:val="20"/>
          <w:szCs w:val="22"/>
        </w:rPr>
        <w:t xml:space="preserve">les matériels et mobiliers de bureau, </w:t>
      </w:r>
      <w:r>
        <w:rPr>
          <w:rFonts w:cs="Arial"/>
          <w:sz w:val="20"/>
          <w:szCs w:val="22"/>
        </w:rPr>
        <w:t>[…]</w:t>
      </w:r>
      <w:r w:rsidRPr="006211EC">
        <w:rPr>
          <w:rFonts w:cs="Arial"/>
          <w:sz w:val="20"/>
          <w:szCs w:val="22"/>
        </w:rPr>
        <w:t>,</w:t>
      </w:r>
    </w:p>
    <w:p w14:paraId="7ADC07FF" w14:textId="77777777" w:rsidR="00A844F6" w:rsidRPr="006211EC" w:rsidRDefault="00A844F6" w:rsidP="00A844F6">
      <w:pPr>
        <w:pStyle w:val="Paragraphedeliste"/>
        <w:numPr>
          <w:ilvl w:val="0"/>
          <w:numId w:val="4"/>
        </w:numPr>
        <w:spacing w:before="0"/>
        <w:rPr>
          <w:rFonts w:cs="Arial"/>
          <w:sz w:val="20"/>
          <w:szCs w:val="22"/>
        </w:rPr>
      </w:pPr>
      <w:r w:rsidRPr="006211EC">
        <w:rPr>
          <w:rFonts w:cs="Arial"/>
          <w:sz w:val="20"/>
          <w:szCs w:val="22"/>
        </w:rPr>
        <w:t>et les logiciels acquis.</w:t>
      </w:r>
    </w:p>
    <w:p w14:paraId="662BAE95" w14:textId="77777777" w:rsidR="00A844F6" w:rsidRPr="006211EC" w:rsidRDefault="00000000" w:rsidP="00A844F6">
      <w:pPr>
        <w:rPr>
          <w:szCs w:val="22"/>
        </w:rPr>
      </w:pPr>
      <w:hyperlink r:id="rId13" w:history="1">
        <w:r w:rsidR="00A844F6" w:rsidRPr="006211EC">
          <w:rPr>
            <w:vanish/>
            <w:color w:val="64AAD3"/>
            <w:szCs w:val="22"/>
          </w:rPr>
          <w:t>charges ou immobilisations</w:t>
        </w:r>
      </w:hyperlink>
      <w:r w:rsidR="00A844F6" w:rsidRPr="006211EC">
        <w:rPr>
          <w:vanish/>
          <w:szCs w:val="22"/>
        </w:rPr>
        <w:t xml:space="preserve"> </w:t>
      </w:r>
      <w:hyperlink r:id="rId14" w:history="1">
        <w:r w:rsidR="00A844F6" w:rsidRPr="006211EC">
          <w:rPr>
            <w:vanish/>
            <w:color w:val="64AAD3"/>
            <w:szCs w:val="22"/>
          </w:rPr>
          <w:t>distinction charges et immobilisations</w:t>
        </w:r>
      </w:hyperlink>
      <w:r w:rsidR="00A844F6" w:rsidRPr="006211EC">
        <w:rPr>
          <w:szCs w:val="22"/>
        </w:rPr>
        <w:t xml:space="preserve"> </w:t>
      </w:r>
      <w:r w:rsidR="00A844F6" w:rsidRPr="006211EC">
        <w:rPr>
          <w:vanish/>
          <w:szCs w:val="22"/>
        </w:rPr>
        <w:t>2014-03-18</w:t>
      </w:r>
      <w:r w:rsidR="00A844F6" w:rsidRPr="006211EC">
        <w:rPr>
          <w:szCs w:val="22"/>
        </w:rPr>
        <w:t xml:space="preserve"> </w:t>
      </w:r>
    </w:p>
    <w:p w14:paraId="34D5682A" w14:textId="77777777" w:rsidR="00A844F6" w:rsidRDefault="00A844F6" w:rsidP="00A844F6"/>
    <w:p w14:paraId="7A09EB85" w14:textId="77777777" w:rsidR="00A844F6" w:rsidRDefault="00A844F6" w:rsidP="00A844F6"/>
    <w:p w14:paraId="513CB0A2" w14:textId="77777777" w:rsidR="00562F0D" w:rsidRDefault="00562F0D"/>
    <w:p w14:paraId="205128F8" w14:textId="77777777" w:rsidR="00562F0D" w:rsidRDefault="00562F0D"/>
    <w:p w14:paraId="649D7E12" w14:textId="3B1649F3" w:rsidR="00562F0D" w:rsidRPr="0029681F" w:rsidRDefault="00A844F6" w:rsidP="00562F0D">
      <w:pPr>
        <w:rPr>
          <w:rFonts w:cs="Arial"/>
          <w:b/>
        </w:rPr>
      </w:pPr>
      <w:r>
        <w:rPr>
          <w:rFonts w:cs="Arial"/>
          <w:b/>
        </w:rPr>
        <w:lastRenderedPageBreak/>
        <w:t>Réponses</w:t>
      </w:r>
    </w:p>
    <w:p w14:paraId="074558C2" w14:textId="77777777" w:rsidR="00562F0D" w:rsidRPr="0029681F" w:rsidRDefault="00562F0D" w:rsidP="00562F0D">
      <w:pPr>
        <w:rPr>
          <w:rFonts w:cs="Arial"/>
          <w:b/>
        </w:rPr>
      </w:pPr>
    </w:p>
    <w:p w14:paraId="0A6AB9C3" w14:textId="77777777" w:rsidR="00562F0D" w:rsidRDefault="00562F0D" w:rsidP="00A844F6">
      <w:pPr>
        <w:pStyle w:val="Paragraphedeliste"/>
        <w:numPr>
          <w:ilvl w:val="0"/>
          <w:numId w:val="5"/>
        </w:numPr>
        <w:spacing w:before="0"/>
        <w:rPr>
          <w:b/>
        </w:rPr>
      </w:pPr>
      <w:r>
        <w:rPr>
          <w:b/>
        </w:rPr>
        <w:t>Qu’est-ce qui distingue une immobilisation d’une charge ?</w:t>
      </w:r>
    </w:p>
    <w:p w14:paraId="3B65128E" w14:textId="77777777" w:rsidR="00562F0D" w:rsidRDefault="00562F0D" w:rsidP="00562F0D">
      <w:pPr>
        <w:spacing w:before="0"/>
        <w:rPr>
          <w:b/>
        </w:rPr>
      </w:pPr>
    </w:p>
    <w:p w14:paraId="2F85AB93" w14:textId="77777777" w:rsidR="00562F0D" w:rsidRDefault="00562F0D" w:rsidP="00562F0D">
      <w:pPr>
        <w:spacing w:before="0"/>
        <w:rPr>
          <w:b/>
        </w:rPr>
      </w:pPr>
    </w:p>
    <w:p w14:paraId="36140603" w14:textId="77777777" w:rsidR="004074F8" w:rsidRDefault="004074F8" w:rsidP="00562F0D">
      <w:pPr>
        <w:spacing w:before="0"/>
        <w:rPr>
          <w:b/>
        </w:rPr>
      </w:pPr>
    </w:p>
    <w:p w14:paraId="3937723D" w14:textId="77777777" w:rsidR="00562F0D" w:rsidRPr="00562F0D" w:rsidRDefault="00562F0D" w:rsidP="00562F0D">
      <w:pPr>
        <w:spacing w:before="0"/>
        <w:rPr>
          <w:b/>
        </w:rPr>
      </w:pPr>
    </w:p>
    <w:p w14:paraId="1F265D23" w14:textId="77777777" w:rsidR="00562F0D" w:rsidRDefault="00562F0D" w:rsidP="00A844F6">
      <w:pPr>
        <w:pStyle w:val="Paragraphedeliste"/>
        <w:numPr>
          <w:ilvl w:val="0"/>
          <w:numId w:val="5"/>
        </w:numPr>
        <w:spacing w:before="0"/>
        <w:rPr>
          <w:b/>
        </w:rPr>
      </w:pPr>
      <w:r>
        <w:rPr>
          <w:b/>
        </w:rPr>
        <w:t>Quelle différence de traitement y a-t-il entre une charge et une immobilisation ?</w:t>
      </w:r>
    </w:p>
    <w:p w14:paraId="1DCFCC6D" w14:textId="77777777" w:rsidR="00562F0D" w:rsidRDefault="00562F0D" w:rsidP="00562F0D">
      <w:pPr>
        <w:spacing w:before="0"/>
        <w:rPr>
          <w:b/>
        </w:rPr>
      </w:pPr>
    </w:p>
    <w:p w14:paraId="47E23ABA" w14:textId="77777777" w:rsidR="004074F8" w:rsidRDefault="004074F8" w:rsidP="00562F0D">
      <w:pPr>
        <w:spacing w:before="0"/>
        <w:rPr>
          <w:b/>
        </w:rPr>
      </w:pPr>
    </w:p>
    <w:p w14:paraId="4CF3D633" w14:textId="77777777" w:rsidR="00562F0D" w:rsidRDefault="00562F0D" w:rsidP="00562F0D">
      <w:pPr>
        <w:spacing w:before="0"/>
        <w:rPr>
          <w:b/>
        </w:rPr>
      </w:pPr>
    </w:p>
    <w:p w14:paraId="416D3A32" w14:textId="77777777" w:rsidR="00562F0D" w:rsidRPr="00562F0D" w:rsidRDefault="00562F0D" w:rsidP="00562F0D">
      <w:pPr>
        <w:spacing w:before="0"/>
        <w:rPr>
          <w:b/>
        </w:rPr>
      </w:pPr>
    </w:p>
    <w:p w14:paraId="165E5793" w14:textId="77777777" w:rsidR="00562F0D" w:rsidRDefault="00562F0D" w:rsidP="00A844F6">
      <w:pPr>
        <w:pStyle w:val="Paragraphedeliste"/>
        <w:numPr>
          <w:ilvl w:val="0"/>
          <w:numId w:val="5"/>
        </w:numPr>
        <w:spacing w:before="0"/>
        <w:rPr>
          <w:b/>
        </w:rPr>
      </w:pPr>
      <w:r>
        <w:rPr>
          <w:b/>
        </w:rPr>
        <w:t>Quelle dérogation est soulevé</w:t>
      </w:r>
      <w:r w:rsidR="009B0134">
        <w:rPr>
          <w:b/>
        </w:rPr>
        <w:t>e</w:t>
      </w:r>
      <w:r>
        <w:rPr>
          <w:b/>
        </w:rPr>
        <w:t xml:space="preserve"> par cet article ?</w:t>
      </w:r>
    </w:p>
    <w:p w14:paraId="3C5259DA" w14:textId="77777777" w:rsidR="00562F0D" w:rsidRDefault="00562F0D" w:rsidP="00562F0D">
      <w:pPr>
        <w:spacing w:before="0"/>
        <w:rPr>
          <w:b/>
        </w:rPr>
      </w:pPr>
    </w:p>
    <w:p w14:paraId="3E4DC38E" w14:textId="77777777" w:rsidR="00562F0D" w:rsidRDefault="00562F0D" w:rsidP="00562F0D">
      <w:pPr>
        <w:spacing w:before="0"/>
        <w:rPr>
          <w:b/>
        </w:rPr>
      </w:pPr>
    </w:p>
    <w:p w14:paraId="485403BD" w14:textId="77777777" w:rsidR="004074F8" w:rsidRDefault="004074F8" w:rsidP="00562F0D">
      <w:pPr>
        <w:spacing w:before="0"/>
        <w:rPr>
          <w:b/>
        </w:rPr>
      </w:pPr>
    </w:p>
    <w:p w14:paraId="5A204BBD" w14:textId="77777777" w:rsidR="00562F0D" w:rsidRPr="00562F0D" w:rsidRDefault="00562F0D" w:rsidP="00562F0D">
      <w:pPr>
        <w:spacing w:before="0"/>
        <w:rPr>
          <w:b/>
        </w:rPr>
      </w:pPr>
    </w:p>
    <w:p w14:paraId="240688F3" w14:textId="77777777" w:rsidR="00562F0D" w:rsidRPr="00F870BF" w:rsidRDefault="00562F0D" w:rsidP="00A844F6">
      <w:pPr>
        <w:pStyle w:val="Paragraphedeliste"/>
        <w:numPr>
          <w:ilvl w:val="0"/>
          <w:numId w:val="5"/>
        </w:numPr>
        <w:spacing w:before="0"/>
        <w:rPr>
          <w:b/>
        </w:rPr>
      </w:pPr>
      <w:r w:rsidRPr="00F870BF">
        <w:rPr>
          <w:b/>
        </w:rPr>
        <w:t>Vous achetez 2 bureaux pour 900 € HT</w:t>
      </w:r>
      <w:r w:rsidR="00C96662">
        <w:rPr>
          <w:b/>
        </w:rPr>
        <w:t>, les 2</w:t>
      </w:r>
      <w:r>
        <w:rPr>
          <w:b/>
        </w:rPr>
        <w:t>. Pouvez-vous les enregistrer en charges ?</w:t>
      </w:r>
    </w:p>
    <w:p w14:paraId="29C08C59" w14:textId="77777777" w:rsidR="00562F0D" w:rsidRDefault="00562F0D"/>
    <w:p w14:paraId="38F074CA" w14:textId="77777777" w:rsidR="004074F8" w:rsidRDefault="004074F8"/>
    <w:p w14:paraId="7BBD3236" w14:textId="77777777" w:rsidR="004074F8" w:rsidRPr="00890534" w:rsidRDefault="004074F8" w:rsidP="00A844F6">
      <w:pPr>
        <w:pStyle w:val="Paragraphedeliste"/>
        <w:numPr>
          <w:ilvl w:val="0"/>
          <w:numId w:val="5"/>
        </w:numPr>
        <w:spacing w:after="240"/>
        <w:jc w:val="both"/>
        <w:rPr>
          <w:b/>
        </w:rPr>
      </w:pPr>
      <w:r>
        <w:rPr>
          <w:rFonts w:cs="Arial"/>
          <w:b/>
        </w:rPr>
        <w:t>E</w:t>
      </w:r>
      <w:r w:rsidRPr="00890534">
        <w:rPr>
          <w:b/>
        </w:rPr>
        <w:t>ffectue</w:t>
      </w:r>
      <w:r w:rsidR="009B0134">
        <w:rPr>
          <w:b/>
        </w:rPr>
        <w:t>z</w:t>
      </w:r>
      <w:r w:rsidRPr="00890534">
        <w:rPr>
          <w:b/>
        </w:rPr>
        <w:t xml:space="preserve"> une classification des dépenses suivantes </w:t>
      </w:r>
      <w:r>
        <w:rPr>
          <w:b/>
        </w:rPr>
        <w:t>d’</w:t>
      </w:r>
      <w:r w:rsidRPr="00890534">
        <w:rPr>
          <w:b/>
        </w:rPr>
        <w:t xml:space="preserve">une entreprise de bâtiment </w:t>
      </w:r>
    </w:p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2416"/>
        <w:gridCol w:w="1548"/>
        <w:gridCol w:w="1698"/>
        <w:gridCol w:w="4748"/>
      </w:tblGrid>
      <w:tr w:rsidR="00A844F6" w:rsidRPr="007B33D0" w14:paraId="75BACBC5" w14:textId="77777777" w:rsidTr="00166679">
        <w:tc>
          <w:tcPr>
            <w:tcW w:w="2416" w:type="dxa"/>
            <w:shd w:val="clear" w:color="auto" w:fill="E2EFD9" w:themeFill="accent6" w:themeFillTint="33"/>
            <w:vAlign w:val="center"/>
          </w:tcPr>
          <w:p w14:paraId="76CA18FB" w14:textId="77777777" w:rsidR="00A844F6" w:rsidRPr="007B33D0" w:rsidRDefault="00A844F6" w:rsidP="00A844F6">
            <w:pPr>
              <w:pStyle w:val="Corpsdetexte"/>
              <w:numPr>
                <w:ilvl w:val="0"/>
                <w:numId w:val="5"/>
              </w:numPr>
              <w:spacing w:after="120"/>
              <w:jc w:val="center"/>
              <w:rPr>
                <w:rFonts w:cs="Arial"/>
                <w:b/>
              </w:rPr>
            </w:pPr>
            <w:r w:rsidRPr="007B33D0">
              <w:rPr>
                <w:rFonts w:cs="Arial"/>
                <w:b/>
              </w:rPr>
              <w:t>Dépenses</w:t>
            </w:r>
          </w:p>
        </w:tc>
        <w:tc>
          <w:tcPr>
            <w:tcW w:w="1548" w:type="dxa"/>
            <w:shd w:val="clear" w:color="auto" w:fill="E2EFD9" w:themeFill="accent6" w:themeFillTint="33"/>
            <w:vAlign w:val="center"/>
          </w:tcPr>
          <w:p w14:paraId="422D413B" w14:textId="77777777" w:rsidR="00A844F6" w:rsidRPr="007B33D0" w:rsidRDefault="00A844F6" w:rsidP="00166679">
            <w:pPr>
              <w:pStyle w:val="Corpsdetexte"/>
              <w:spacing w:after="120"/>
              <w:jc w:val="center"/>
              <w:rPr>
                <w:rFonts w:cs="Arial"/>
                <w:b/>
              </w:rPr>
            </w:pPr>
            <w:r w:rsidRPr="007B33D0">
              <w:rPr>
                <w:rFonts w:cs="Arial"/>
                <w:b/>
              </w:rPr>
              <w:t>Charge</w:t>
            </w:r>
          </w:p>
        </w:tc>
        <w:tc>
          <w:tcPr>
            <w:tcW w:w="1698" w:type="dxa"/>
            <w:shd w:val="clear" w:color="auto" w:fill="E2EFD9" w:themeFill="accent6" w:themeFillTint="33"/>
            <w:vAlign w:val="center"/>
          </w:tcPr>
          <w:p w14:paraId="5D2C4B93" w14:textId="77777777" w:rsidR="00A844F6" w:rsidRPr="007B33D0" w:rsidRDefault="00A844F6" w:rsidP="00166679">
            <w:pPr>
              <w:pStyle w:val="Corpsdetexte"/>
              <w:spacing w:after="120"/>
              <w:jc w:val="center"/>
              <w:rPr>
                <w:rFonts w:cs="Arial"/>
                <w:b/>
              </w:rPr>
            </w:pPr>
            <w:r w:rsidRPr="007B33D0">
              <w:rPr>
                <w:rFonts w:cs="Arial"/>
                <w:b/>
              </w:rPr>
              <w:t>Immobilisation</w:t>
            </w:r>
          </w:p>
        </w:tc>
        <w:tc>
          <w:tcPr>
            <w:tcW w:w="4748" w:type="dxa"/>
            <w:shd w:val="clear" w:color="auto" w:fill="E2EFD9" w:themeFill="accent6" w:themeFillTint="33"/>
            <w:vAlign w:val="center"/>
          </w:tcPr>
          <w:p w14:paraId="075C29C3" w14:textId="77777777" w:rsidR="00A844F6" w:rsidRPr="007B33D0" w:rsidRDefault="00A844F6" w:rsidP="00166679">
            <w:pPr>
              <w:pStyle w:val="Corpsdetexte"/>
              <w:spacing w:after="120"/>
              <w:jc w:val="center"/>
              <w:rPr>
                <w:rFonts w:cs="Arial"/>
                <w:b/>
              </w:rPr>
            </w:pPr>
            <w:r w:rsidRPr="007B33D0">
              <w:rPr>
                <w:rFonts w:cs="Arial"/>
                <w:b/>
              </w:rPr>
              <w:t>Justification</w:t>
            </w:r>
          </w:p>
        </w:tc>
      </w:tr>
      <w:tr w:rsidR="00A844F6" w14:paraId="25BFA388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1A282BAC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Ordinateur, serveurs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2437516"/>
          </w:sdtPr>
          <w:sdtContent>
            <w:sdt>
              <w:sdtPr>
                <w:rPr>
                  <w:rFonts w:cstheme="minorHAnsi"/>
                  <w:sz w:val="24"/>
                </w:rPr>
                <w:id w:val="-1603791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12201691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006066"/>
          </w:sdtPr>
          <w:sdtContent>
            <w:sdt>
              <w:sdtPr>
                <w:rPr>
                  <w:rFonts w:cstheme="minorHAnsi"/>
                  <w:sz w:val="24"/>
                </w:rPr>
                <w:id w:val="-11343986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740E6B2D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7585E1FD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0619C5A3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227A34F4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43F15D6A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 w:rsidRPr="00890534">
              <w:rPr>
                <w:rFonts w:cs="Arial"/>
                <w:szCs w:val="21"/>
              </w:rPr>
              <w:t>É</w:t>
            </w:r>
            <w:r>
              <w:rPr>
                <w:rFonts w:cs="Arial"/>
                <w:sz w:val="21"/>
                <w:szCs w:val="21"/>
              </w:rPr>
              <w:t xml:space="preserve">lectricité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86494290"/>
          </w:sdtPr>
          <w:sdtContent>
            <w:sdt>
              <w:sdtPr>
                <w:rPr>
                  <w:rFonts w:cstheme="minorHAnsi"/>
                  <w:sz w:val="24"/>
                </w:rPr>
                <w:id w:val="635371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1D999083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2258012"/>
          </w:sdtPr>
          <w:sdtContent>
            <w:sdt>
              <w:sdtPr>
                <w:rPr>
                  <w:rFonts w:cstheme="minorHAnsi"/>
                  <w:sz w:val="24"/>
                </w:rPr>
                <w:id w:val="5056389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2749C5BC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1A8E5557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616CB575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798C3141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454E3A40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Fournitures de bureau (stylos, toners d’encre)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2656838"/>
          </w:sdtPr>
          <w:sdtContent>
            <w:sdt>
              <w:sdtPr>
                <w:rPr>
                  <w:rFonts w:cstheme="minorHAnsi"/>
                  <w:sz w:val="24"/>
                </w:rPr>
                <w:id w:val="18586983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651D7945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3349550"/>
          </w:sdtPr>
          <w:sdtContent>
            <w:sdt>
              <w:sdtPr>
                <w:rPr>
                  <w:rFonts w:cstheme="minorHAnsi"/>
                  <w:sz w:val="24"/>
                </w:rPr>
                <w:id w:val="19857337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36C24BF8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56E94541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0A40F88F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51A795F2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124A8A5E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Téléphone portable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7661765"/>
          </w:sdtPr>
          <w:sdtContent>
            <w:sdt>
              <w:sdtPr>
                <w:rPr>
                  <w:rFonts w:cstheme="minorHAnsi"/>
                  <w:sz w:val="24"/>
                </w:rPr>
                <w:id w:val="-8014610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50AB0673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98117826"/>
          </w:sdtPr>
          <w:sdtContent>
            <w:sdt>
              <w:sdtPr>
                <w:rPr>
                  <w:rFonts w:cstheme="minorHAnsi"/>
                  <w:sz w:val="24"/>
                </w:rPr>
                <w:id w:val="4802779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4C233C7F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7ED4C25A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1668E861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50751904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25305469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Achat d’un véhicule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0712040"/>
          </w:sdtPr>
          <w:sdtContent>
            <w:sdt>
              <w:sdtPr>
                <w:rPr>
                  <w:rFonts w:cstheme="minorHAnsi"/>
                  <w:sz w:val="24"/>
                </w:rPr>
                <w:id w:val="10806384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4A22FE69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00220047"/>
          </w:sdtPr>
          <w:sdtContent>
            <w:sdt>
              <w:sdtPr>
                <w:rPr>
                  <w:rFonts w:cstheme="minorHAnsi"/>
                  <w:sz w:val="24"/>
                </w:rPr>
                <w:id w:val="-1543517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3B86D9D0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3F5EC7F8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5937E5BB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14921EB6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374D7F60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Redevance de crédit-bail sur un véhicule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8352412"/>
          </w:sdtPr>
          <w:sdtContent>
            <w:sdt>
              <w:sdtPr>
                <w:rPr>
                  <w:rFonts w:cstheme="minorHAnsi"/>
                  <w:sz w:val="24"/>
                </w:rPr>
                <w:id w:val="-10203068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331C664F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13677640"/>
          </w:sdtPr>
          <w:sdtContent>
            <w:sdt>
              <w:sdtPr>
                <w:rPr>
                  <w:rFonts w:cstheme="minorHAnsi"/>
                  <w:sz w:val="24"/>
                </w:rPr>
                <w:id w:val="18758103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638DB5C5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06AB1C9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6D73F530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2A43E444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44B0F1BA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Réparation d’un véhicule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1278972"/>
          </w:sdtPr>
          <w:sdtContent>
            <w:sdt>
              <w:sdtPr>
                <w:rPr>
                  <w:rFonts w:cstheme="minorHAnsi"/>
                  <w:sz w:val="24"/>
                </w:rPr>
                <w:id w:val="-13689071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53363C98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63905151"/>
          </w:sdtPr>
          <w:sdtContent>
            <w:sdt>
              <w:sdtPr>
                <w:rPr>
                  <w:rFonts w:cstheme="minorHAnsi"/>
                  <w:sz w:val="24"/>
                </w:rPr>
                <w:id w:val="-3788583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62BF6CC2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64BC2AA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3A5A0378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35F7BBB2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66366BAA" w14:textId="68A9858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Matières premières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8110333"/>
          </w:sdtPr>
          <w:sdtContent>
            <w:sdt>
              <w:sdtPr>
                <w:rPr>
                  <w:rFonts w:cstheme="minorHAnsi"/>
                  <w:sz w:val="24"/>
                </w:rPr>
                <w:id w:val="-3416271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50CD4B19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0343308"/>
          </w:sdtPr>
          <w:sdtContent>
            <w:sdt>
              <w:sdtPr>
                <w:rPr>
                  <w:rFonts w:cstheme="minorHAnsi"/>
                  <w:sz w:val="24"/>
                </w:rPr>
                <w:id w:val="-15101283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6EC6DEF6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14199F0F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3E0F6B20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7BE86CCF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Carburant des véhicules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4947337"/>
          </w:sdtPr>
          <w:sdtContent>
            <w:sdt>
              <w:sdtPr>
                <w:rPr>
                  <w:rFonts w:cstheme="minorHAnsi"/>
                  <w:sz w:val="24"/>
                </w:rPr>
                <w:id w:val="-15310947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1EA3368A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31676701"/>
          </w:sdtPr>
          <w:sdtContent>
            <w:sdt>
              <w:sdtPr>
                <w:rPr>
                  <w:rFonts w:cstheme="minorHAnsi"/>
                  <w:sz w:val="24"/>
                </w:rPr>
                <w:id w:val="-3984355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767010FD" w14:textId="77777777" w:rsidR="00A844F6" w:rsidRPr="000F0A48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4448B757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216BC273" w14:textId="77777777" w:rsidR="00A844F6" w:rsidRPr="000F0A48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5386F34F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708D910D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 brevet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7309406"/>
          </w:sdtPr>
          <w:sdtContent>
            <w:sdt>
              <w:sdtPr>
                <w:rPr>
                  <w:rFonts w:cstheme="minorHAnsi"/>
                  <w:sz w:val="24"/>
                </w:rPr>
                <w:id w:val="15996001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0202852E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57879204"/>
          </w:sdtPr>
          <w:sdtContent>
            <w:sdt>
              <w:sdtPr>
                <w:rPr>
                  <w:rFonts w:cstheme="minorHAnsi"/>
                  <w:sz w:val="24"/>
                </w:rPr>
                <w:id w:val="1497000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35BBE717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1CA395A1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5C696CFC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03A4DCA5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7B310FE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 facture d’eau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278737"/>
          </w:sdtPr>
          <w:sdtContent>
            <w:sdt>
              <w:sdtPr>
                <w:rPr>
                  <w:rFonts w:cstheme="minorHAnsi"/>
                  <w:sz w:val="24"/>
                </w:rPr>
                <w:id w:val="-145594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243B70C7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12706750"/>
          </w:sdtPr>
          <w:sdtContent>
            <w:sdt>
              <w:sdtPr>
                <w:rPr>
                  <w:rFonts w:cstheme="minorHAnsi"/>
                  <w:sz w:val="24"/>
                </w:rPr>
                <w:id w:val="18110531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176238C5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1665B890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57661E4A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5FDDD0E0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66B15EA9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Le loyer du bureau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6565223"/>
          </w:sdtPr>
          <w:sdtContent>
            <w:sdt>
              <w:sdtPr>
                <w:rPr>
                  <w:rFonts w:cstheme="minorHAnsi"/>
                  <w:sz w:val="24"/>
                </w:rPr>
                <w:id w:val="3171599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3D89667E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13577790"/>
          </w:sdtPr>
          <w:sdtContent>
            <w:sdt>
              <w:sdtPr>
                <w:rPr>
                  <w:rFonts w:cstheme="minorHAnsi"/>
                  <w:sz w:val="24"/>
                </w:rPr>
                <w:id w:val="5156589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5B2DB53B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038E80E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2C0F3E82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2FF6CD9D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5BA2FE6F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 encart publicitaire dans une revue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857450"/>
          </w:sdtPr>
          <w:sdtContent>
            <w:sdt>
              <w:sdtPr>
                <w:rPr>
                  <w:rFonts w:cstheme="minorHAnsi"/>
                  <w:sz w:val="24"/>
                </w:rPr>
                <w:id w:val="-74593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1707D918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9182547"/>
          </w:sdtPr>
          <w:sdtContent>
            <w:sdt>
              <w:sdtPr>
                <w:rPr>
                  <w:rFonts w:cstheme="minorHAnsi"/>
                  <w:sz w:val="24"/>
                </w:rPr>
                <w:id w:val="1470244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23202F5C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24C59465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0EE9874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  <w:tr w:rsidR="00A844F6" w14:paraId="0891DAEE" w14:textId="77777777" w:rsidTr="00166679">
        <w:trPr>
          <w:trHeight w:val="454"/>
        </w:trPr>
        <w:tc>
          <w:tcPr>
            <w:tcW w:w="2416" w:type="dxa"/>
            <w:vAlign w:val="center"/>
          </w:tcPr>
          <w:p w14:paraId="2A3AC353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 repas au restaurant avec 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900074"/>
          </w:sdtPr>
          <w:sdtContent>
            <w:sdt>
              <w:sdtPr>
                <w:rPr>
                  <w:rFonts w:cstheme="minorHAnsi"/>
                  <w:sz w:val="24"/>
                </w:rPr>
                <w:id w:val="-11813438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548" w:type="dxa"/>
                    <w:vAlign w:val="center"/>
                  </w:tcPr>
                  <w:p w14:paraId="2B63FEFA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7886481"/>
          </w:sdtPr>
          <w:sdtContent>
            <w:sdt>
              <w:sdtPr>
                <w:rPr>
                  <w:rFonts w:cstheme="minorHAnsi"/>
                  <w:sz w:val="24"/>
                </w:rPr>
                <w:id w:val="-19935574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698" w:type="dxa"/>
                    <w:vAlign w:val="center"/>
                  </w:tcPr>
                  <w:p w14:paraId="36397CA9" w14:textId="77777777" w:rsidR="00A844F6" w:rsidRDefault="00A844F6" w:rsidP="00166679">
                    <w:pPr>
                      <w:pStyle w:val="Corpsdetexte"/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48" w:type="dxa"/>
            <w:vAlign w:val="center"/>
          </w:tcPr>
          <w:p w14:paraId="56702FF1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  <w:p w14:paraId="169260A2" w14:textId="77777777" w:rsidR="00A844F6" w:rsidRDefault="00A844F6" w:rsidP="00166679">
            <w:pPr>
              <w:pStyle w:val="Corpsdetexte"/>
              <w:spacing w:before="0"/>
              <w:rPr>
                <w:rFonts w:cs="Arial"/>
                <w:sz w:val="21"/>
                <w:szCs w:val="21"/>
              </w:rPr>
            </w:pPr>
          </w:p>
        </w:tc>
      </w:tr>
    </w:tbl>
    <w:p w14:paraId="6B1E81BE" w14:textId="77777777" w:rsidR="004074F8" w:rsidRDefault="004074F8" w:rsidP="00032AD4">
      <w:pPr>
        <w:pStyle w:val="Corpsdetexte"/>
        <w:tabs>
          <w:tab w:val="left" w:pos="2497"/>
          <w:tab w:val="left" w:pos="3543"/>
          <w:tab w:val="left" w:pos="4521"/>
        </w:tabs>
        <w:spacing w:before="0"/>
        <w:ind w:left="11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Pr="000F0A48">
        <w:rPr>
          <w:rFonts w:cs="Arial"/>
          <w:sz w:val="21"/>
          <w:szCs w:val="21"/>
        </w:rPr>
        <w:tab/>
      </w:r>
      <w:r w:rsidRPr="000F0A48">
        <w:rPr>
          <w:rFonts w:cs="Arial"/>
          <w:sz w:val="21"/>
          <w:szCs w:val="21"/>
        </w:rPr>
        <w:tab/>
      </w:r>
    </w:p>
    <w:p w14:paraId="0C6441C6" w14:textId="02890376" w:rsidR="004074F8" w:rsidRPr="00A844F6" w:rsidRDefault="00A844F6" w:rsidP="00A844F6">
      <w:pPr>
        <w:spacing w:after="120"/>
        <w:ind w:left="426" w:hanging="426"/>
        <w:jc w:val="both"/>
        <w:rPr>
          <w:b/>
        </w:rPr>
      </w:pPr>
      <w:r>
        <w:rPr>
          <w:rFonts w:cs="Arial"/>
          <w:b/>
        </w:rPr>
        <w:t xml:space="preserve">6. </w:t>
      </w:r>
      <w:r w:rsidR="004074F8" w:rsidRPr="00A844F6">
        <w:rPr>
          <w:rFonts w:cs="Arial"/>
          <w:b/>
        </w:rPr>
        <w:t>La classification serait-elle identique pour une société qui commercialise du matériel</w:t>
      </w:r>
      <w:r w:rsidR="004074F8" w:rsidRPr="00A844F6">
        <w:rPr>
          <w:b/>
        </w:rPr>
        <w:t xml:space="preserve"> informatique ?</w:t>
      </w:r>
    </w:p>
    <w:p w14:paraId="7D3C0432" w14:textId="77777777" w:rsidR="004074F8" w:rsidRDefault="004074F8" w:rsidP="004074F8">
      <w:pPr>
        <w:tabs>
          <w:tab w:val="left" w:pos="6829"/>
          <w:tab w:val="left" w:pos="8413"/>
        </w:tabs>
        <w:spacing w:before="60" w:after="60"/>
        <w:rPr>
          <w:sz w:val="20"/>
        </w:rPr>
      </w:pPr>
    </w:p>
    <w:p w14:paraId="0279E602" w14:textId="77777777" w:rsidR="004074F8" w:rsidRDefault="004074F8"/>
    <w:sectPr w:rsidR="004074F8" w:rsidSect="0050114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6EC"/>
    <w:multiLevelType w:val="hybridMultilevel"/>
    <w:tmpl w:val="D93429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BCE01D8"/>
    <w:multiLevelType w:val="hybridMultilevel"/>
    <w:tmpl w:val="9F82D510"/>
    <w:lvl w:ilvl="0" w:tplc="9E42D7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EDC364A"/>
    <w:multiLevelType w:val="hybridMultilevel"/>
    <w:tmpl w:val="E5B87C18"/>
    <w:lvl w:ilvl="0" w:tplc="9C9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C04F5"/>
    <w:multiLevelType w:val="hybridMultilevel"/>
    <w:tmpl w:val="B948AF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20A0AB2"/>
    <w:multiLevelType w:val="hybridMultilevel"/>
    <w:tmpl w:val="DC7C2088"/>
    <w:lvl w:ilvl="0" w:tplc="31B44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2143">
    <w:abstractNumId w:val="1"/>
  </w:num>
  <w:num w:numId="2" w16cid:durableId="1585337699">
    <w:abstractNumId w:val="2"/>
  </w:num>
  <w:num w:numId="3" w16cid:durableId="70084409">
    <w:abstractNumId w:val="3"/>
  </w:num>
  <w:num w:numId="4" w16cid:durableId="718669585">
    <w:abstractNumId w:val="0"/>
  </w:num>
  <w:num w:numId="5" w16cid:durableId="1809203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C3"/>
    <w:rsid w:val="004074F8"/>
    <w:rsid w:val="004C0CAD"/>
    <w:rsid w:val="00501145"/>
    <w:rsid w:val="00562F0D"/>
    <w:rsid w:val="006632A7"/>
    <w:rsid w:val="009B0134"/>
    <w:rsid w:val="00A844F6"/>
    <w:rsid w:val="00AA384F"/>
    <w:rsid w:val="00C63932"/>
    <w:rsid w:val="00C96662"/>
    <w:rsid w:val="00D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BE76"/>
  <w15:chartTrackingRefBased/>
  <w15:docId w15:val="{95F366A0-7FBA-4F5B-9D43-20C17D6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A3FC3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3FC3"/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A3FC3"/>
    <w:pPr>
      <w:ind w:left="708"/>
    </w:pPr>
  </w:style>
  <w:style w:type="character" w:styleId="Lienhypertexte">
    <w:name w:val="Hyperlink"/>
    <w:uiPriority w:val="99"/>
    <w:unhideWhenUsed/>
    <w:rsid w:val="00DA3FC3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074F8"/>
  </w:style>
  <w:style w:type="character" w:customStyle="1" w:styleId="CorpsdetexteCar">
    <w:name w:val="Corps de texte Car"/>
    <w:basedOn w:val="Policepardfaut"/>
    <w:link w:val="Corpsdetexte"/>
    <w:rsid w:val="004074F8"/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407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://www.compta-facile.com/tag/charges-ou-immobilis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mpta-facile.com/les-amortissements-comptabl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://www.compta-facile.com/les-immobilisations-comptable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mpta-facile.com/comptes-de-char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ta-facile.com/charge-ou-immobilisation/" TargetMode="External"/><Relationship Id="rId14" Type="http://schemas.openxmlformats.org/officeDocument/2006/relationships/hyperlink" Target="http://www.compta-facile.com/tag/distinction-charges-et-immobilisa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2015-11-24T22:45:00Z</dcterms:created>
  <dcterms:modified xsi:type="dcterms:W3CDTF">2023-02-10T19:17:00Z</dcterms:modified>
</cp:coreProperties>
</file>