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271"/>
        <w:gridCol w:w="6804"/>
        <w:gridCol w:w="851"/>
        <w:gridCol w:w="992"/>
        <w:gridCol w:w="6"/>
      </w:tblGrid>
      <w:tr w:rsidR="00CB22D3" w:rsidRPr="00E835FA" w14:paraId="2C9322D9" w14:textId="77777777" w:rsidTr="00AA1983">
        <w:trPr>
          <w:trHeight w:val="386"/>
        </w:trPr>
        <w:tc>
          <w:tcPr>
            <w:tcW w:w="9924" w:type="dxa"/>
            <w:gridSpan w:val="5"/>
            <w:shd w:val="clear" w:color="auto" w:fill="FFFF00"/>
          </w:tcPr>
          <w:p w14:paraId="5533500F" w14:textId="77777777" w:rsidR="00CB22D3" w:rsidRPr="00E835FA" w:rsidRDefault="00CB22D3" w:rsidP="00AA1983">
            <w:pPr>
              <w:pStyle w:val="Titre2"/>
              <w:spacing w:before="120"/>
              <w:jc w:val="center"/>
              <w:rPr>
                <w:szCs w:val="22"/>
              </w:rPr>
            </w:pPr>
            <w:r w:rsidRPr="00E835FA">
              <w:rPr>
                <w:szCs w:val="22"/>
              </w:rPr>
              <w:t>Réflexion 6 - Repérer les éléments d’une écoute active</w:t>
            </w:r>
          </w:p>
        </w:tc>
      </w:tr>
      <w:tr w:rsidR="00CB22D3" w:rsidRPr="00CB22D3" w14:paraId="3BDD0C8F" w14:textId="77777777" w:rsidTr="00AA1983">
        <w:trPr>
          <w:gridAfter w:val="1"/>
          <w:wAfter w:w="6" w:type="dxa"/>
          <w:trHeight w:val="288"/>
        </w:trPr>
        <w:tc>
          <w:tcPr>
            <w:tcW w:w="1271" w:type="dxa"/>
            <w:shd w:val="clear" w:color="auto" w:fill="FFFF00"/>
            <w:vAlign w:val="center"/>
          </w:tcPr>
          <w:p w14:paraId="23AC98AE" w14:textId="77777777" w:rsidR="00CB22D3" w:rsidRPr="00CB22D3" w:rsidRDefault="00CB22D3" w:rsidP="00AA1983">
            <w:pPr>
              <w:jc w:val="center"/>
              <w:rPr>
                <w:bCs/>
                <w:sz w:val="20"/>
                <w:szCs w:val="20"/>
              </w:rPr>
            </w:pPr>
            <w:r w:rsidRPr="00CB22D3">
              <w:rPr>
                <w:bCs/>
                <w:sz w:val="20"/>
                <w:szCs w:val="20"/>
              </w:rPr>
              <w:t>Durée : 20’</w:t>
            </w:r>
          </w:p>
        </w:tc>
        <w:tc>
          <w:tcPr>
            <w:tcW w:w="6804" w:type="dxa"/>
            <w:shd w:val="clear" w:color="auto" w:fill="FFFF00"/>
            <w:vAlign w:val="center"/>
          </w:tcPr>
          <w:p w14:paraId="2F6A0761" w14:textId="77777777" w:rsidR="00CB22D3" w:rsidRPr="00CB22D3" w:rsidRDefault="00CB22D3" w:rsidP="00AA1983">
            <w:pPr>
              <w:jc w:val="center"/>
              <w:rPr>
                <w:bCs/>
                <w:sz w:val="20"/>
                <w:szCs w:val="20"/>
              </w:rPr>
            </w:pPr>
            <w:r w:rsidRPr="00CB22D3">
              <w:rPr>
                <w:bCs/>
                <w:noProof/>
                <w:sz w:val="20"/>
                <w:szCs w:val="20"/>
              </w:rPr>
              <w:drawing>
                <wp:inline distT="0" distB="0" distL="0" distR="0" wp14:anchorId="2A37A331" wp14:editId="337C4F17">
                  <wp:extent cx="324000" cy="324000"/>
                  <wp:effectExtent l="0" t="0" r="0" b="0"/>
                  <wp:docPr id="357270799" name="Graphique 357270799"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proofErr w:type="gramStart"/>
            <w:r w:rsidRPr="00CB22D3">
              <w:rPr>
                <w:bCs/>
                <w:sz w:val="20"/>
                <w:szCs w:val="20"/>
              </w:rPr>
              <w:t>ou</w:t>
            </w:r>
            <w:proofErr w:type="gramEnd"/>
            <w:r w:rsidRPr="00CB22D3">
              <w:rPr>
                <w:bCs/>
                <w:sz w:val="20"/>
                <w:szCs w:val="20"/>
              </w:rPr>
              <w:t xml:space="preserve"> </w:t>
            </w:r>
            <w:r w:rsidRPr="00CB22D3">
              <w:rPr>
                <w:bCs/>
                <w:noProof/>
                <w:sz w:val="20"/>
                <w:szCs w:val="20"/>
              </w:rPr>
              <w:drawing>
                <wp:inline distT="0" distB="0" distL="0" distR="0" wp14:anchorId="42F2F95A" wp14:editId="7E54BCEB">
                  <wp:extent cx="360000" cy="360000"/>
                  <wp:effectExtent l="0" t="0" r="0" b="2540"/>
                  <wp:docPr id="1595777153" name="Graphique 1595777153" descr="Homme et fe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Homme et femme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851" w:type="dxa"/>
            <w:shd w:val="clear" w:color="auto" w:fill="FFFF00"/>
            <w:vAlign w:val="center"/>
          </w:tcPr>
          <w:p w14:paraId="11A9E89C" w14:textId="77777777" w:rsidR="00CB22D3" w:rsidRPr="00CB22D3" w:rsidRDefault="00CB22D3" w:rsidP="00AA1983">
            <w:pPr>
              <w:jc w:val="center"/>
              <w:rPr>
                <w:bCs/>
                <w:sz w:val="20"/>
                <w:szCs w:val="20"/>
              </w:rPr>
            </w:pPr>
            <w:r w:rsidRPr="00CB22D3">
              <w:rPr>
                <w:noProof/>
                <w:sz w:val="20"/>
                <w:szCs w:val="20"/>
              </w:rPr>
              <w:drawing>
                <wp:inline distT="0" distB="0" distL="0" distR="0" wp14:anchorId="13E091AA" wp14:editId="2940D7D6">
                  <wp:extent cx="369417" cy="360000"/>
                  <wp:effectExtent l="0" t="0" r="0" b="2540"/>
                  <wp:docPr id="1315526584"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78950" name="Image 26" descr="Une image contenant symbole, Bleu électrique, Police, Graphique&#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9417" cy="360000"/>
                          </a:xfrm>
                          <a:prstGeom prst="rect">
                            <a:avLst/>
                          </a:prstGeom>
                        </pic:spPr>
                      </pic:pic>
                    </a:graphicData>
                  </a:graphic>
                </wp:inline>
              </w:drawing>
            </w:r>
          </w:p>
        </w:tc>
        <w:tc>
          <w:tcPr>
            <w:tcW w:w="992" w:type="dxa"/>
            <w:shd w:val="clear" w:color="auto" w:fill="FFFF00"/>
            <w:vAlign w:val="center"/>
          </w:tcPr>
          <w:p w14:paraId="3E4D7061" w14:textId="77777777" w:rsidR="00CB22D3" w:rsidRPr="00CB22D3" w:rsidRDefault="00CB22D3" w:rsidP="00AA1983">
            <w:pPr>
              <w:jc w:val="center"/>
              <w:rPr>
                <w:bCs/>
                <w:sz w:val="20"/>
                <w:szCs w:val="20"/>
              </w:rPr>
            </w:pPr>
            <w:r w:rsidRPr="00CB22D3">
              <w:rPr>
                <w:bCs/>
                <w:sz w:val="20"/>
                <w:szCs w:val="20"/>
              </w:rPr>
              <w:t>Source</w:t>
            </w:r>
          </w:p>
        </w:tc>
      </w:tr>
    </w:tbl>
    <w:p w14:paraId="33B68D7D" w14:textId="65F1289E" w:rsidR="00507431" w:rsidRPr="007F0E9C" w:rsidRDefault="00507431" w:rsidP="00507431">
      <w:pPr>
        <w:pStyle w:val="Listecouleur-Accent11"/>
        <w:tabs>
          <w:tab w:val="left" w:pos="1072"/>
        </w:tabs>
        <w:spacing w:before="240" w:after="120"/>
        <w:ind w:left="0"/>
        <w:rPr>
          <w:b/>
          <w:sz w:val="24"/>
        </w:rPr>
      </w:pPr>
      <w:bookmarkStart w:id="0" w:name="_Hlk20136614"/>
      <w:bookmarkStart w:id="1" w:name="_Hlk20136689"/>
      <w:r w:rsidRPr="007F0E9C">
        <w:rPr>
          <w:b/>
          <w:sz w:val="24"/>
        </w:rPr>
        <w:t>Contexte professionnel</w:t>
      </w:r>
    </w:p>
    <w:p w14:paraId="7D5ECAF3" w14:textId="77777777" w:rsidR="00507431" w:rsidRPr="00DF2ED1" w:rsidRDefault="00507431" w:rsidP="00507431">
      <w:pPr>
        <w:pStyle w:val="tacheseurasment"/>
        <w:jc w:val="both"/>
        <w:rPr>
          <w:rFonts w:cs="Arial"/>
          <w:color w:val="000000"/>
          <w:sz w:val="22"/>
          <w:szCs w:val="22"/>
        </w:rPr>
      </w:pPr>
      <w:r w:rsidRPr="00DF2ED1">
        <w:rPr>
          <w:rFonts w:cs="Arial"/>
          <w:color w:val="000000"/>
          <w:sz w:val="22"/>
          <w:szCs w:val="22"/>
        </w:rPr>
        <w:t>M</w:t>
      </w:r>
      <w:r w:rsidRPr="00305C64">
        <w:rPr>
          <w:rFonts w:cs="Arial"/>
          <w:color w:val="000000"/>
          <w:sz w:val="22"/>
          <w:szCs w:val="22"/>
          <w:vertAlign w:val="superscript"/>
        </w:rPr>
        <w:t>me</w:t>
      </w:r>
      <w:r w:rsidRPr="00DF2ED1">
        <w:rPr>
          <w:rFonts w:cs="Arial"/>
          <w:color w:val="000000"/>
          <w:sz w:val="22"/>
          <w:szCs w:val="22"/>
        </w:rPr>
        <w:t xml:space="preserve"> </w:t>
      </w:r>
      <w:proofErr w:type="spellStart"/>
      <w:r w:rsidRPr="00DF2ED1">
        <w:rPr>
          <w:rFonts w:cs="Arial"/>
          <w:color w:val="000000"/>
          <w:sz w:val="22"/>
          <w:szCs w:val="22"/>
        </w:rPr>
        <w:t>Valblanche</w:t>
      </w:r>
      <w:proofErr w:type="spellEnd"/>
      <w:r w:rsidRPr="00DF2ED1">
        <w:rPr>
          <w:rFonts w:cs="Arial"/>
          <w:color w:val="000000"/>
          <w:sz w:val="22"/>
          <w:szCs w:val="22"/>
        </w:rPr>
        <w:t xml:space="preserve"> est vendeuse dans la société </w:t>
      </w:r>
      <w:proofErr w:type="spellStart"/>
      <w:r w:rsidRPr="00DF2ED1">
        <w:rPr>
          <w:rFonts w:cs="Arial"/>
          <w:color w:val="000000"/>
          <w:sz w:val="22"/>
          <w:szCs w:val="22"/>
        </w:rPr>
        <w:t>Vinoterra</w:t>
      </w:r>
      <w:proofErr w:type="spellEnd"/>
      <w:r w:rsidRPr="00DF2ED1">
        <w:rPr>
          <w:rFonts w:cs="Arial"/>
          <w:color w:val="000000"/>
          <w:sz w:val="22"/>
          <w:szCs w:val="22"/>
        </w:rPr>
        <w:t xml:space="preserve"> qui est spécialisée dans la vente de vins et </w:t>
      </w:r>
      <w:r>
        <w:rPr>
          <w:rFonts w:cs="Arial"/>
          <w:color w:val="000000"/>
          <w:sz w:val="22"/>
          <w:szCs w:val="22"/>
        </w:rPr>
        <w:t xml:space="preserve">de </w:t>
      </w:r>
      <w:r w:rsidRPr="00DF2ED1">
        <w:rPr>
          <w:rFonts w:cs="Arial"/>
          <w:color w:val="000000"/>
          <w:sz w:val="22"/>
          <w:szCs w:val="22"/>
        </w:rPr>
        <w:t xml:space="preserve">spiritueux. </w:t>
      </w:r>
    </w:p>
    <w:p w14:paraId="389CC49D" w14:textId="77777777" w:rsidR="00507431" w:rsidRDefault="00507431" w:rsidP="00507431">
      <w:pPr>
        <w:pStyle w:val="Listecouleur-Accent11"/>
        <w:tabs>
          <w:tab w:val="left" w:pos="1072"/>
        </w:tabs>
        <w:spacing w:before="240" w:after="120"/>
        <w:ind w:left="0"/>
        <w:rPr>
          <w:b/>
          <w:sz w:val="24"/>
        </w:rPr>
      </w:pPr>
      <w:r w:rsidRPr="007F0E9C">
        <w:rPr>
          <w:b/>
          <w:sz w:val="24"/>
        </w:rPr>
        <w:t>Travail à faire </w:t>
      </w:r>
      <w:r w:rsidRPr="007F0E9C">
        <w:rPr>
          <w:b/>
          <w:sz w:val="24"/>
        </w:rPr>
        <w:tab/>
      </w:r>
    </w:p>
    <w:p w14:paraId="712F8A15" w14:textId="77777777" w:rsidR="00507431" w:rsidRDefault="00507431" w:rsidP="00507431">
      <w:pPr>
        <w:rPr>
          <w:noProof/>
          <w:lang w:eastAsia="fr-FR"/>
        </w:rPr>
      </w:pPr>
      <w:r w:rsidRPr="00EC027F">
        <w:rPr>
          <w:noProof/>
          <w:lang w:eastAsia="fr-FR"/>
        </w:rPr>
        <w:t>Analysez la communication suivante et indiquez les points qui montrent que les interlocuteurs font preuve d’écoute active, d’empathie, vous distinguerez les propos de chaque acteur (Voir tableau).</w:t>
      </w:r>
    </w:p>
    <w:p w14:paraId="47D139AB" w14:textId="77777777" w:rsidR="00507431" w:rsidRDefault="00507431" w:rsidP="00507431">
      <w:pPr>
        <w:spacing w:before="120"/>
        <w:rPr>
          <w:b/>
          <w:bCs/>
          <w:noProof/>
          <w:lang w:eastAsia="fr-FR"/>
        </w:rPr>
      </w:pPr>
      <w:bookmarkStart w:id="2" w:name="_Hlk20137700"/>
    </w:p>
    <w:p w14:paraId="409E40A5" w14:textId="77777777" w:rsidR="00507431" w:rsidRDefault="00507431" w:rsidP="00CB22D3">
      <w:pPr>
        <w:spacing w:before="120"/>
        <w:rPr>
          <w:noProof/>
          <w:lang w:eastAsia="fr-FR"/>
        </w:rPr>
      </w:pPr>
      <w:r w:rsidRPr="009E6685">
        <w:rPr>
          <w:b/>
          <w:bCs/>
          <w:noProof/>
          <w:lang w:eastAsia="fr-FR"/>
        </w:rPr>
        <w:t>Le client</w:t>
      </w:r>
      <w:r>
        <w:rPr>
          <w:noProof/>
          <w:lang w:eastAsia="fr-FR"/>
        </w:rPr>
        <w:t> : « Bonjour, je cherche un vin blanc léger pour accompagner un poisson en sauce entre 15 et 20 €. »</w:t>
      </w:r>
    </w:p>
    <w:p w14:paraId="1222C685" w14:textId="77777777" w:rsidR="00507431" w:rsidRDefault="00507431" w:rsidP="00CB22D3">
      <w:pPr>
        <w:spacing w:before="120"/>
        <w:rPr>
          <w:noProof/>
          <w:lang w:eastAsia="fr-FR"/>
        </w:rPr>
      </w:pPr>
      <w:r w:rsidRPr="009E6685">
        <w:rPr>
          <w:b/>
          <w:bCs/>
          <w:noProof/>
          <w:lang w:eastAsia="fr-FR"/>
        </w:rPr>
        <w:t>M</w:t>
      </w:r>
      <w:r w:rsidRPr="00305C64">
        <w:rPr>
          <w:b/>
          <w:bCs/>
          <w:noProof/>
          <w:vertAlign w:val="superscript"/>
          <w:lang w:eastAsia="fr-FR"/>
        </w:rPr>
        <w:t>me</w:t>
      </w:r>
      <w:r w:rsidRPr="009E6685">
        <w:rPr>
          <w:b/>
          <w:bCs/>
          <w:noProof/>
          <w:lang w:eastAsia="fr-FR"/>
        </w:rPr>
        <w:t xml:space="preserve"> Valblanche</w:t>
      </w:r>
      <w:r>
        <w:rPr>
          <w:noProof/>
          <w:lang w:eastAsia="fr-FR"/>
        </w:rPr>
        <w:t> : « Nous avons en ce moment une promotion sur des Côtes du Rhône, suivez-moi on devrait pouvoir trouver ce qui vous convient. »</w:t>
      </w:r>
    </w:p>
    <w:p w14:paraId="5B26A838" w14:textId="77777777" w:rsidR="00507431" w:rsidRPr="009E6685" w:rsidRDefault="00507431" w:rsidP="00CB22D3">
      <w:pPr>
        <w:spacing w:before="120"/>
        <w:rPr>
          <w:i/>
          <w:iCs/>
          <w:noProof/>
          <w:lang w:eastAsia="fr-FR"/>
        </w:rPr>
      </w:pPr>
      <w:r w:rsidRPr="009E6685">
        <w:rPr>
          <w:i/>
          <w:iCs/>
          <w:noProof/>
          <w:lang w:eastAsia="fr-FR"/>
        </w:rPr>
        <w:t>M</w:t>
      </w:r>
      <w:r w:rsidRPr="00305C64">
        <w:rPr>
          <w:i/>
          <w:iCs/>
          <w:noProof/>
          <w:vertAlign w:val="superscript"/>
          <w:lang w:eastAsia="fr-FR"/>
        </w:rPr>
        <w:t>me</w:t>
      </w:r>
      <w:r w:rsidRPr="009E6685">
        <w:rPr>
          <w:i/>
          <w:iCs/>
          <w:noProof/>
          <w:lang w:eastAsia="fr-FR"/>
        </w:rPr>
        <w:t xml:space="preserve"> valblanche </w:t>
      </w:r>
      <w:r>
        <w:rPr>
          <w:i/>
          <w:iCs/>
          <w:noProof/>
          <w:lang w:eastAsia="fr-FR"/>
        </w:rPr>
        <w:t>dirige</w:t>
      </w:r>
      <w:r w:rsidRPr="009E6685">
        <w:rPr>
          <w:i/>
          <w:iCs/>
          <w:noProof/>
          <w:lang w:eastAsia="fr-FR"/>
        </w:rPr>
        <w:t xml:space="preserve"> le client dans le </w:t>
      </w:r>
      <w:r>
        <w:rPr>
          <w:i/>
          <w:iCs/>
          <w:noProof/>
          <w:lang w:eastAsia="fr-FR"/>
        </w:rPr>
        <w:t>rayon</w:t>
      </w:r>
      <w:r w:rsidRPr="009E6685">
        <w:rPr>
          <w:i/>
          <w:iCs/>
          <w:noProof/>
          <w:lang w:eastAsia="fr-FR"/>
        </w:rPr>
        <w:t xml:space="preserve"> des promotions et montre les articles</w:t>
      </w:r>
      <w:r>
        <w:rPr>
          <w:i/>
          <w:iCs/>
          <w:noProof/>
          <w:lang w:eastAsia="fr-FR"/>
        </w:rPr>
        <w:t>.</w:t>
      </w:r>
      <w:r w:rsidRPr="009E6685">
        <w:rPr>
          <w:i/>
          <w:iCs/>
          <w:noProof/>
          <w:lang w:eastAsia="fr-FR"/>
        </w:rPr>
        <w:t xml:space="preserve"> </w:t>
      </w:r>
    </w:p>
    <w:p w14:paraId="75104641" w14:textId="77777777" w:rsidR="00507431" w:rsidRDefault="00507431" w:rsidP="00CB22D3">
      <w:pPr>
        <w:spacing w:before="120"/>
        <w:rPr>
          <w:noProof/>
          <w:lang w:eastAsia="fr-FR"/>
        </w:rPr>
      </w:pPr>
      <w:r w:rsidRPr="009E6685">
        <w:rPr>
          <w:b/>
          <w:bCs/>
          <w:noProof/>
          <w:lang w:eastAsia="fr-FR"/>
        </w:rPr>
        <w:t>Le client</w:t>
      </w:r>
      <w:r>
        <w:rPr>
          <w:noProof/>
          <w:lang w:eastAsia="fr-FR"/>
        </w:rPr>
        <w:t> :</w:t>
      </w:r>
      <w:r w:rsidRPr="00933DE6">
        <w:rPr>
          <w:noProof/>
          <w:lang w:eastAsia="fr-FR"/>
        </w:rPr>
        <w:t xml:space="preserve"> </w:t>
      </w:r>
      <w:r>
        <w:rPr>
          <w:noProof/>
          <w:lang w:eastAsia="fr-FR"/>
        </w:rPr>
        <w:t>(irrité) « Mais il n’y a pas de vin blanc ! vous n’avez pas écouté ce que je vous ai dit. »</w:t>
      </w:r>
    </w:p>
    <w:p w14:paraId="0C642A9F" w14:textId="77777777" w:rsidR="00507431" w:rsidRDefault="00507431" w:rsidP="00CB22D3">
      <w:pPr>
        <w:spacing w:before="120"/>
        <w:rPr>
          <w:noProof/>
          <w:lang w:eastAsia="fr-FR"/>
        </w:rPr>
      </w:pPr>
      <w:r w:rsidRPr="009E6685">
        <w:rPr>
          <w:b/>
          <w:bCs/>
          <w:noProof/>
          <w:lang w:eastAsia="fr-FR"/>
        </w:rPr>
        <w:t>M</w:t>
      </w:r>
      <w:r w:rsidRPr="00305C64">
        <w:rPr>
          <w:b/>
          <w:bCs/>
          <w:noProof/>
          <w:vertAlign w:val="superscript"/>
          <w:lang w:eastAsia="fr-FR"/>
        </w:rPr>
        <w:t>me</w:t>
      </w:r>
      <w:r w:rsidRPr="009E6685">
        <w:rPr>
          <w:b/>
          <w:bCs/>
          <w:noProof/>
          <w:lang w:eastAsia="fr-FR"/>
        </w:rPr>
        <w:t xml:space="preserve"> Valblanche</w:t>
      </w:r>
      <w:r>
        <w:rPr>
          <w:noProof/>
          <w:lang w:eastAsia="fr-FR"/>
        </w:rPr>
        <w:t> : « Je débute dans le magasin, excusez moi, les vins blancs sont dans un autre rayon, suivez moi. »</w:t>
      </w:r>
    </w:p>
    <w:p w14:paraId="79C3C4BD" w14:textId="77777777" w:rsidR="00507431" w:rsidRDefault="00507431" w:rsidP="00CB22D3">
      <w:pPr>
        <w:spacing w:before="120"/>
        <w:rPr>
          <w:noProof/>
          <w:lang w:eastAsia="fr-FR"/>
        </w:rPr>
      </w:pPr>
      <w:r w:rsidRPr="009E6685">
        <w:rPr>
          <w:b/>
          <w:bCs/>
          <w:noProof/>
          <w:lang w:eastAsia="fr-FR"/>
        </w:rPr>
        <w:t>Le client</w:t>
      </w:r>
      <w:r>
        <w:rPr>
          <w:noProof/>
          <w:lang w:eastAsia="fr-FR"/>
        </w:rPr>
        <w:t> : (désagréable) « Adaptez vous rapidement à ce poste sans quoi vous ne resterez pas longtemps… Je vous ai demandé un vin blanc pour accompagner un poisson, je le souhaite fruité et léger. »</w:t>
      </w:r>
    </w:p>
    <w:p w14:paraId="665F8297" w14:textId="77777777" w:rsidR="00507431" w:rsidRDefault="00507431" w:rsidP="00CB22D3">
      <w:pPr>
        <w:spacing w:before="120"/>
        <w:rPr>
          <w:noProof/>
          <w:lang w:eastAsia="fr-FR"/>
        </w:rPr>
      </w:pPr>
      <w:r w:rsidRPr="009E6685">
        <w:rPr>
          <w:b/>
          <w:bCs/>
          <w:noProof/>
          <w:lang w:eastAsia="fr-FR"/>
        </w:rPr>
        <w:t>M</w:t>
      </w:r>
      <w:r w:rsidRPr="00305C64">
        <w:rPr>
          <w:b/>
          <w:bCs/>
          <w:noProof/>
          <w:vertAlign w:val="superscript"/>
          <w:lang w:eastAsia="fr-FR"/>
        </w:rPr>
        <w:t>me</w:t>
      </w:r>
      <w:r w:rsidRPr="009E6685">
        <w:rPr>
          <w:b/>
          <w:bCs/>
          <w:noProof/>
          <w:lang w:eastAsia="fr-FR"/>
        </w:rPr>
        <w:t xml:space="preserve"> Valblanche</w:t>
      </w:r>
      <w:r>
        <w:rPr>
          <w:noProof/>
          <w:lang w:eastAsia="fr-FR"/>
        </w:rPr>
        <w:t> : « Je vous propose ce vin blanc de Chateauneuf du pape, il est fruité, et léger et doit être bu assez frais. »</w:t>
      </w:r>
    </w:p>
    <w:bookmarkEnd w:id="2"/>
    <w:p w14:paraId="7921C57A" w14:textId="77777777" w:rsidR="00507431" w:rsidRDefault="00507431" w:rsidP="00CB22D3">
      <w:pPr>
        <w:spacing w:before="120"/>
        <w:rPr>
          <w:noProof/>
          <w:lang w:eastAsia="fr-FR"/>
        </w:rPr>
      </w:pPr>
      <w:r w:rsidRPr="009E6685">
        <w:rPr>
          <w:b/>
          <w:bCs/>
          <w:noProof/>
          <w:lang w:eastAsia="fr-FR"/>
        </w:rPr>
        <w:t>Le client</w:t>
      </w:r>
      <w:r>
        <w:rPr>
          <w:noProof/>
          <w:lang w:eastAsia="fr-FR"/>
        </w:rPr>
        <w:t> : « Je vois qu’il est à 28 €, je n’envisageais pas y mettre ce prix. »</w:t>
      </w:r>
    </w:p>
    <w:p w14:paraId="1FA1C55F" w14:textId="77777777" w:rsidR="00507431" w:rsidRDefault="00507431" w:rsidP="00CB22D3">
      <w:pPr>
        <w:spacing w:before="120"/>
        <w:rPr>
          <w:noProof/>
          <w:lang w:eastAsia="fr-FR"/>
        </w:rPr>
      </w:pPr>
      <w:r w:rsidRPr="009E6685">
        <w:rPr>
          <w:b/>
          <w:bCs/>
          <w:noProof/>
          <w:lang w:eastAsia="fr-FR"/>
        </w:rPr>
        <w:t>M</w:t>
      </w:r>
      <w:r w:rsidRPr="00305C64">
        <w:rPr>
          <w:b/>
          <w:bCs/>
          <w:noProof/>
          <w:vertAlign w:val="superscript"/>
          <w:lang w:eastAsia="fr-FR"/>
        </w:rPr>
        <w:t>me</w:t>
      </w:r>
      <w:r w:rsidRPr="009E6685">
        <w:rPr>
          <w:b/>
          <w:bCs/>
          <w:noProof/>
          <w:lang w:eastAsia="fr-FR"/>
        </w:rPr>
        <w:t xml:space="preserve"> Valblanche</w:t>
      </w:r>
      <w:r>
        <w:rPr>
          <w:noProof/>
          <w:lang w:eastAsia="fr-FR"/>
        </w:rPr>
        <w:t> : « Ce vin est d’une grande qualité et vous ne serrez pas déçu… »</w:t>
      </w:r>
    </w:p>
    <w:p w14:paraId="1C1D7E4B" w14:textId="77777777" w:rsidR="00507431" w:rsidRDefault="00507431" w:rsidP="00CB22D3">
      <w:pPr>
        <w:spacing w:before="120"/>
        <w:rPr>
          <w:noProof/>
          <w:lang w:eastAsia="fr-FR"/>
        </w:rPr>
      </w:pPr>
      <w:r w:rsidRPr="009E6685">
        <w:rPr>
          <w:b/>
          <w:bCs/>
          <w:noProof/>
          <w:lang w:eastAsia="fr-FR"/>
        </w:rPr>
        <w:t>Le client</w:t>
      </w:r>
      <w:r>
        <w:rPr>
          <w:noProof/>
          <w:lang w:eastAsia="fr-FR"/>
        </w:rPr>
        <w:t> : « Avez-vous une autre option moins cher ? Je ne pensais pas dépasser 15 € la bouteille »</w:t>
      </w:r>
    </w:p>
    <w:p w14:paraId="3282C03D" w14:textId="77777777" w:rsidR="00507431" w:rsidRDefault="00507431" w:rsidP="00CB22D3">
      <w:pPr>
        <w:spacing w:before="120"/>
        <w:rPr>
          <w:noProof/>
          <w:lang w:eastAsia="fr-FR"/>
        </w:rPr>
      </w:pPr>
      <w:r w:rsidRPr="009E6685">
        <w:rPr>
          <w:b/>
          <w:bCs/>
          <w:noProof/>
          <w:lang w:eastAsia="fr-FR"/>
        </w:rPr>
        <w:t>Mme Valblanche</w:t>
      </w:r>
      <w:r>
        <w:rPr>
          <w:noProof/>
          <w:lang w:eastAsia="fr-FR"/>
        </w:rPr>
        <w:t> : « Je peux vous conseiller ce Condrieux à 15 € la bouteille. C’est un AOC, une appelation d’origine contrôlée qui convient particulièrement pour des poissons en sauce et il a obtenu une médaille d’argent aux vinothèques de Macon. »</w:t>
      </w:r>
    </w:p>
    <w:p w14:paraId="5D15B874" w14:textId="77777777" w:rsidR="00507431" w:rsidRDefault="00507431" w:rsidP="00CB22D3">
      <w:pPr>
        <w:spacing w:before="120"/>
        <w:rPr>
          <w:noProof/>
          <w:lang w:eastAsia="fr-FR"/>
        </w:rPr>
      </w:pPr>
      <w:r w:rsidRPr="009E6685">
        <w:rPr>
          <w:b/>
          <w:bCs/>
          <w:noProof/>
          <w:lang w:eastAsia="fr-FR"/>
        </w:rPr>
        <w:t>Le client</w:t>
      </w:r>
      <w:r>
        <w:rPr>
          <w:noProof/>
          <w:lang w:eastAsia="fr-FR"/>
        </w:rPr>
        <w:t> : « Le concour de Macon est il réputé et fiable ? Car la derinère bouteille que j’ai acheté en hypermarché était décevante. Le vin était trop sec pour accompagner un poisson. »</w:t>
      </w:r>
    </w:p>
    <w:p w14:paraId="2552213E" w14:textId="77777777" w:rsidR="00507431" w:rsidRDefault="00507431" w:rsidP="00CB22D3">
      <w:pPr>
        <w:spacing w:before="120"/>
        <w:rPr>
          <w:noProof/>
          <w:lang w:eastAsia="fr-FR"/>
        </w:rPr>
      </w:pPr>
      <w:r w:rsidRPr="009E6685">
        <w:rPr>
          <w:b/>
          <w:bCs/>
          <w:noProof/>
          <w:lang w:eastAsia="fr-FR"/>
        </w:rPr>
        <w:t>M</w:t>
      </w:r>
      <w:r w:rsidRPr="00305C64">
        <w:rPr>
          <w:b/>
          <w:bCs/>
          <w:noProof/>
          <w:vertAlign w:val="superscript"/>
          <w:lang w:eastAsia="fr-FR"/>
        </w:rPr>
        <w:t>me</w:t>
      </w:r>
      <w:r w:rsidRPr="009E6685">
        <w:rPr>
          <w:b/>
          <w:bCs/>
          <w:noProof/>
          <w:lang w:eastAsia="fr-FR"/>
        </w:rPr>
        <w:t xml:space="preserve"> Valblanche</w:t>
      </w:r>
      <w:r>
        <w:rPr>
          <w:noProof/>
          <w:lang w:eastAsia="fr-FR"/>
        </w:rPr>
        <w:t> : « C’est toujours très décevant de mettre un certain prix dans une bouteille et de ne pas en être satisfait, surtout lorsqu’on a des invités. Le salon de Macon est un salon professionnel reconnu et idépendant. C’est une référence nationale. Par ailleurs ce Condrieux est très bien placé en prix, il entre dans votre fourchette de prix et il accompagnera très bien votre plat de poisson. Vous ne serez pas déçu par ce vin, je peux vous le garantir. »</w:t>
      </w:r>
    </w:p>
    <w:p w14:paraId="5AD21EF7" w14:textId="77777777" w:rsidR="00507431" w:rsidRDefault="00507431" w:rsidP="00CB22D3">
      <w:pPr>
        <w:spacing w:before="120"/>
        <w:rPr>
          <w:noProof/>
          <w:lang w:eastAsia="fr-FR"/>
        </w:rPr>
      </w:pPr>
      <w:r w:rsidRPr="009E6685">
        <w:rPr>
          <w:b/>
          <w:bCs/>
          <w:noProof/>
          <w:lang w:eastAsia="fr-FR"/>
        </w:rPr>
        <w:t>Le client</w:t>
      </w:r>
      <w:r>
        <w:rPr>
          <w:noProof/>
          <w:lang w:eastAsia="fr-FR"/>
        </w:rPr>
        <w:t> : « Très bien je vous fais confiance, j’en prendrais 2 bouteilles à 12 €. »</w:t>
      </w:r>
    </w:p>
    <w:p w14:paraId="49FAC298" w14:textId="77777777" w:rsidR="00507431" w:rsidRDefault="00507431" w:rsidP="00CB22D3">
      <w:pPr>
        <w:spacing w:before="120"/>
        <w:rPr>
          <w:noProof/>
          <w:lang w:eastAsia="fr-FR"/>
        </w:rPr>
      </w:pPr>
      <w:r w:rsidRPr="009E6685">
        <w:rPr>
          <w:b/>
          <w:bCs/>
          <w:noProof/>
          <w:lang w:eastAsia="fr-FR"/>
        </w:rPr>
        <w:t>M</w:t>
      </w:r>
      <w:r w:rsidRPr="00305C64">
        <w:rPr>
          <w:b/>
          <w:bCs/>
          <w:noProof/>
          <w:vertAlign w:val="superscript"/>
          <w:lang w:eastAsia="fr-FR"/>
        </w:rPr>
        <w:t>me</w:t>
      </w:r>
      <w:r w:rsidRPr="009E6685">
        <w:rPr>
          <w:b/>
          <w:bCs/>
          <w:noProof/>
          <w:lang w:eastAsia="fr-FR"/>
        </w:rPr>
        <w:t xml:space="preserve"> Valblanche</w:t>
      </w:r>
      <w:r>
        <w:rPr>
          <w:noProof/>
          <w:lang w:eastAsia="fr-FR"/>
        </w:rPr>
        <w:t> : « Le prix que je vous ai annoncé est de 15 € et pas de 12 €. »</w:t>
      </w:r>
    </w:p>
    <w:p w14:paraId="34082B65" w14:textId="5C5049E7" w:rsidR="00507431" w:rsidRDefault="00507431" w:rsidP="00CB22D3">
      <w:pPr>
        <w:spacing w:before="120" w:after="120"/>
        <w:rPr>
          <w:noProof/>
          <w:lang w:eastAsia="fr-FR"/>
        </w:rPr>
      </w:pPr>
      <w:r w:rsidRPr="009E6685">
        <w:rPr>
          <w:b/>
          <w:bCs/>
          <w:noProof/>
          <w:lang w:eastAsia="fr-FR"/>
        </w:rPr>
        <w:t>Le client</w:t>
      </w:r>
      <w:r>
        <w:rPr>
          <w:noProof/>
          <w:lang w:eastAsia="fr-FR"/>
        </w:rPr>
        <w:t> : « Ah excusez moi, j’en prend donc 2 bouteilles à 15 €. »</w:t>
      </w:r>
    </w:p>
    <w:p w14:paraId="0F3011AA" w14:textId="23A623F7" w:rsidR="00507431" w:rsidRDefault="00507431" w:rsidP="00CB22D3">
      <w:pPr>
        <w:spacing w:before="120" w:after="120"/>
        <w:rPr>
          <w:noProof/>
          <w:lang w:eastAsia="fr-FR"/>
        </w:rPr>
      </w:pPr>
    </w:p>
    <w:p w14:paraId="37BE6F08" w14:textId="1FB65781" w:rsidR="00507431" w:rsidRDefault="00507431" w:rsidP="00507431">
      <w:pPr>
        <w:spacing w:after="120"/>
        <w:rPr>
          <w:noProof/>
          <w:lang w:eastAsia="fr-FR"/>
        </w:rPr>
      </w:pPr>
    </w:p>
    <w:p w14:paraId="3147C249" w14:textId="28F53CDE" w:rsidR="00507431" w:rsidRDefault="00507431" w:rsidP="00507431">
      <w:pPr>
        <w:spacing w:after="120"/>
        <w:rPr>
          <w:noProof/>
          <w:lang w:eastAsia="fr-FR"/>
        </w:rPr>
      </w:pPr>
    </w:p>
    <w:p w14:paraId="632CDC06" w14:textId="77777777" w:rsidR="00507431" w:rsidRDefault="00507431" w:rsidP="00507431">
      <w:pPr>
        <w:spacing w:after="120"/>
        <w:rPr>
          <w:noProof/>
          <w:lang w:eastAsia="fr-FR"/>
        </w:rPr>
      </w:pPr>
    </w:p>
    <w:p w14:paraId="4B3BE92A" w14:textId="77777777" w:rsidR="007E4B3E" w:rsidRDefault="007E4B3E" w:rsidP="007F0E9C">
      <w:pPr>
        <w:pStyle w:val="Listecouleur-Accent11"/>
        <w:tabs>
          <w:tab w:val="left" w:pos="1072"/>
        </w:tabs>
        <w:spacing w:before="240" w:after="120"/>
        <w:ind w:left="0"/>
        <w:rPr>
          <w:noProof/>
          <w:szCs w:val="20"/>
          <w:lang w:eastAsia="fr-FR"/>
        </w:rPr>
      </w:pPr>
    </w:p>
    <w:tbl>
      <w:tblPr>
        <w:tblStyle w:val="Grilledutableau"/>
        <w:tblW w:w="0" w:type="auto"/>
        <w:tblLook w:val="04A0" w:firstRow="1" w:lastRow="0" w:firstColumn="1" w:lastColumn="0" w:noHBand="0" w:noVBand="1"/>
      </w:tblPr>
      <w:tblGrid>
        <w:gridCol w:w="2235"/>
        <w:gridCol w:w="3507"/>
        <w:gridCol w:w="3828"/>
      </w:tblGrid>
      <w:tr w:rsidR="00CC779D" w:rsidRPr="00E33A2A" w14:paraId="51EEF9BC" w14:textId="77777777" w:rsidTr="00EC027F">
        <w:tc>
          <w:tcPr>
            <w:tcW w:w="2235" w:type="dxa"/>
            <w:shd w:val="clear" w:color="auto" w:fill="C5E0B3" w:themeFill="accent6" w:themeFillTint="66"/>
          </w:tcPr>
          <w:p w14:paraId="6DBCF6F3" w14:textId="77777777" w:rsidR="00CC779D" w:rsidRPr="00E33A2A" w:rsidRDefault="00CC779D" w:rsidP="007F0E9C">
            <w:pPr>
              <w:pStyle w:val="tacheseurasment"/>
              <w:spacing w:before="120" w:after="120"/>
              <w:jc w:val="center"/>
              <w:rPr>
                <w:b/>
                <w:noProof/>
                <w:szCs w:val="20"/>
              </w:rPr>
            </w:pPr>
            <w:r w:rsidRPr="00E33A2A">
              <w:rPr>
                <w:b/>
                <w:noProof/>
                <w:szCs w:val="20"/>
              </w:rPr>
              <w:t>Points qui montrent</w:t>
            </w:r>
          </w:p>
        </w:tc>
        <w:tc>
          <w:tcPr>
            <w:tcW w:w="3507" w:type="dxa"/>
            <w:shd w:val="clear" w:color="auto" w:fill="C5E0B3" w:themeFill="accent6" w:themeFillTint="66"/>
          </w:tcPr>
          <w:p w14:paraId="055AC350" w14:textId="77777777" w:rsidR="00CC779D" w:rsidRPr="00E33A2A" w:rsidRDefault="00CC779D" w:rsidP="007F0E9C">
            <w:pPr>
              <w:pStyle w:val="tacheseurasment"/>
              <w:spacing w:before="120" w:after="120"/>
              <w:jc w:val="center"/>
              <w:rPr>
                <w:b/>
                <w:noProof/>
                <w:szCs w:val="20"/>
              </w:rPr>
            </w:pPr>
            <w:r w:rsidRPr="00E33A2A">
              <w:rPr>
                <w:b/>
                <w:noProof/>
                <w:szCs w:val="20"/>
              </w:rPr>
              <w:t>Pierre</w:t>
            </w:r>
          </w:p>
        </w:tc>
        <w:tc>
          <w:tcPr>
            <w:tcW w:w="3828" w:type="dxa"/>
            <w:shd w:val="clear" w:color="auto" w:fill="C5E0B3" w:themeFill="accent6" w:themeFillTint="66"/>
          </w:tcPr>
          <w:p w14:paraId="0603916F" w14:textId="77777777" w:rsidR="00CC779D" w:rsidRPr="00E33A2A" w:rsidRDefault="00CC779D" w:rsidP="007F0E9C">
            <w:pPr>
              <w:pStyle w:val="tacheseurasment"/>
              <w:spacing w:before="120" w:after="120"/>
              <w:jc w:val="center"/>
              <w:rPr>
                <w:b/>
                <w:noProof/>
                <w:szCs w:val="20"/>
              </w:rPr>
            </w:pPr>
            <w:r w:rsidRPr="00E33A2A">
              <w:rPr>
                <w:rFonts w:cs="Arial"/>
                <w:b/>
                <w:color w:val="000000"/>
                <w:szCs w:val="20"/>
              </w:rPr>
              <w:t>Madame Laurin</w:t>
            </w:r>
          </w:p>
        </w:tc>
      </w:tr>
      <w:tr w:rsidR="00CC779D" w14:paraId="7B919590" w14:textId="77777777" w:rsidTr="00EC027F">
        <w:tc>
          <w:tcPr>
            <w:tcW w:w="2235" w:type="dxa"/>
            <w:shd w:val="clear" w:color="auto" w:fill="C5E0B3" w:themeFill="accent6" w:themeFillTint="66"/>
            <w:vAlign w:val="center"/>
          </w:tcPr>
          <w:p w14:paraId="57EF73CB" w14:textId="77777777" w:rsidR="00CC779D" w:rsidRDefault="00CC779D" w:rsidP="0092355F">
            <w:pPr>
              <w:pStyle w:val="tacheseurasment"/>
              <w:rPr>
                <w:b/>
                <w:noProof/>
                <w:szCs w:val="20"/>
              </w:rPr>
            </w:pPr>
            <w:r w:rsidRPr="00E33A2A">
              <w:rPr>
                <w:b/>
                <w:noProof/>
                <w:szCs w:val="20"/>
              </w:rPr>
              <w:t xml:space="preserve">que les interlocuteurs </w:t>
            </w:r>
          </w:p>
          <w:p w14:paraId="183A0C10" w14:textId="77777777" w:rsidR="00CC779D" w:rsidRDefault="00CC779D" w:rsidP="0092355F">
            <w:pPr>
              <w:pStyle w:val="tacheseurasment"/>
              <w:rPr>
                <w:b/>
                <w:noProof/>
                <w:szCs w:val="20"/>
              </w:rPr>
            </w:pPr>
            <w:r w:rsidRPr="00E33A2A">
              <w:rPr>
                <w:b/>
                <w:noProof/>
                <w:szCs w:val="20"/>
              </w:rPr>
              <w:t xml:space="preserve">font preuve </w:t>
            </w:r>
          </w:p>
          <w:p w14:paraId="05ED8913" w14:textId="77777777" w:rsidR="00CC779D" w:rsidRPr="00E33A2A" w:rsidRDefault="00CC779D" w:rsidP="0092355F">
            <w:pPr>
              <w:pStyle w:val="tacheseurasment"/>
              <w:rPr>
                <w:b/>
                <w:noProof/>
                <w:szCs w:val="20"/>
              </w:rPr>
            </w:pPr>
            <w:r w:rsidRPr="00E33A2A">
              <w:rPr>
                <w:b/>
                <w:noProof/>
                <w:szCs w:val="20"/>
              </w:rPr>
              <w:t>d’écoute active</w:t>
            </w:r>
          </w:p>
        </w:tc>
        <w:tc>
          <w:tcPr>
            <w:tcW w:w="3507" w:type="dxa"/>
          </w:tcPr>
          <w:p w14:paraId="04B0476B" w14:textId="77777777" w:rsidR="00CC779D" w:rsidRDefault="00CC779D" w:rsidP="0092355F">
            <w:pPr>
              <w:pStyle w:val="tacheseurasment"/>
              <w:rPr>
                <w:noProof/>
                <w:szCs w:val="20"/>
              </w:rPr>
            </w:pPr>
          </w:p>
          <w:p w14:paraId="79B0791B" w14:textId="77777777" w:rsidR="00CC779D" w:rsidRDefault="00CC779D" w:rsidP="0092355F">
            <w:pPr>
              <w:pStyle w:val="tacheseurasment"/>
              <w:rPr>
                <w:noProof/>
                <w:szCs w:val="20"/>
              </w:rPr>
            </w:pPr>
          </w:p>
          <w:p w14:paraId="02230B94" w14:textId="77777777" w:rsidR="00CC779D" w:rsidRDefault="00CC779D" w:rsidP="0092355F">
            <w:pPr>
              <w:pStyle w:val="tacheseurasment"/>
              <w:rPr>
                <w:noProof/>
                <w:szCs w:val="20"/>
              </w:rPr>
            </w:pPr>
          </w:p>
          <w:p w14:paraId="157FEF88" w14:textId="77777777" w:rsidR="00CC779D" w:rsidRDefault="00CC779D" w:rsidP="0092355F">
            <w:pPr>
              <w:pStyle w:val="tacheseurasment"/>
              <w:rPr>
                <w:noProof/>
                <w:szCs w:val="20"/>
              </w:rPr>
            </w:pPr>
          </w:p>
          <w:p w14:paraId="6814E1D0" w14:textId="77777777" w:rsidR="00CC779D" w:rsidRDefault="00CC779D" w:rsidP="0092355F">
            <w:pPr>
              <w:pStyle w:val="tacheseurasment"/>
              <w:rPr>
                <w:noProof/>
                <w:szCs w:val="20"/>
              </w:rPr>
            </w:pPr>
          </w:p>
          <w:p w14:paraId="0427DC41" w14:textId="77777777" w:rsidR="00CC779D" w:rsidRDefault="00CC779D" w:rsidP="0092355F">
            <w:pPr>
              <w:pStyle w:val="tacheseurasment"/>
              <w:rPr>
                <w:noProof/>
                <w:szCs w:val="20"/>
              </w:rPr>
            </w:pPr>
          </w:p>
          <w:p w14:paraId="08396E7A" w14:textId="77777777" w:rsidR="00CC779D" w:rsidRDefault="00CC779D" w:rsidP="0092355F">
            <w:pPr>
              <w:pStyle w:val="tacheseurasment"/>
              <w:rPr>
                <w:noProof/>
                <w:szCs w:val="20"/>
              </w:rPr>
            </w:pPr>
          </w:p>
        </w:tc>
        <w:tc>
          <w:tcPr>
            <w:tcW w:w="3828" w:type="dxa"/>
          </w:tcPr>
          <w:p w14:paraId="1E4FEF07" w14:textId="77777777" w:rsidR="00CC779D" w:rsidRDefault="00CC779D" w:rsidP="0092355F">
            <w:pPr>
              <w:pStyle w:val="tacheseurasment"/>
              <w:rPr>
                <w:noProof/>
                <w:szCs w:val="20"/>
              </w:rPr>
            </w:pPr>
          </w:p>
        </w:tc>
      </w:tr>
      <w:tr w:rsidR="00CC779D" w14:paraId="23C9261A" w14:textId="77777777" w:rsidTr="00EC027F">
        <w:tc>
          <w:tcPr>
            <w:tcW w:w="2235" w:type="dxa"/>
            <w:shd w:val="clear" w:color="auto" w:fill="C5E0B3" w:themeFill="accent6" w:themeFillTint="66"/>
            <w:vAlign w:val="center"/>
          </w:tcPr>
          <w:p w14:paraId="1B23B418" w14:textId="77777777" w:rsidR="00CC779D" w:rsidRDefault="00CC779D" w:rsidP="0092355F">
            <w:pPr>
              <w:pStyle w:val="tacheseurasment"/>
              <w:rPr>
                <w:b/>
                <w:noProof/>
                <w:szCs w:val="20"/>
              </w:rPr>
            </w:pPr>
            <w:r w:rsidRPr="00E33A2A">
              <w:rPr>
                <w:b/>
                <w:noProof/>
                <w:szCs w:val="20"/>
              </w:rPr>
              <w:t xml:space="preserve">que les interlocuteurs </w:t>
            </w:r>
          </w:p>
          <w:p w14:paraId="43C0BD15" w14:textId="77777777" w:rsidR="00CC779D" w:rsidRPr="00E33A2A" w:rsidRDefault="00CC779D" w:rsidP="0092355F">
            <w:pPr>
              <w:pStyle w:val="tacheseurasment"/>
              <w:rPr>
                <w:b/>
                <w:noProof/>
                <w:szCs w:val="20"/>
              </w:rPr>
            </w:pPr>
            <w:r w:rsidRPr="00E33A2A">
              <w:rPr>
                <w:b/>
                <w:noProof/>
                <w:szCs w:val="20"/>
              </w:rPr>
              <w:t>font preuve d’empathie</w:t>
            </w:r>
          </w:p>
        </w:tc>
        <w:tc>
          <w:tcPr>
            <w:tcW w:w="3507" w:type="dxa"/>
          </w:tcPr>
          <w:p w14:paraId="5422A997" w14:textId="77777777" w:rsidR="00CC779D" w:rsidRDefault="00CC779D" w:rsidP="0092355F">
            <w:pPr>
              <w:pStyle w:val="tacheseurasment"/>
              <w:rPr>
                <w:noProof/>
                <w:szCs w:val="20"/>
              </w:rPr>
            </w:pPr>
          </w:p>
          <w:p w14:paraId="50D0F353" w14:textId="77777777" w:rsidR="00CC779D" w:rsidRDefault="00CC779D" w:rsidP="0092355F">
            <w:pPr>
              <w:pStyle w:val="tacheseurasment"/>
              <w:rPr>
                <w:noProof/>
                <w:szCs w:val="20"/>
              </w:rPr>
            </w:pPr>
          </w:p>
          <w:p w14:paraId="7B139F73" w14:textId="77777777" w:rsidR="00CC779D" w:rsidRDefault="00CC779D" w:rsidP="0092355F">
            <w:pPr>
              <w:pStyle w:val="tacheseurasment"/>
              <w:rPr>
                <w:noProof/>
                <w:szCs w:val="20"/>
              </w:rPr>
            </w:pPr>
          </w:p>
          <w:p w14:paraId="3AD8F8FC" w14:textId="77777777" w:rsidR="00CC779D" w:rsidRDefault="00CC779D" w:rsidP="0092355F">
            <w:pPr>
              <w:pStyle w:val="tacheseurasment"/>
              <w:rPr>
                <w:noProof/>
                <w:szCs w:val="20"/>
              </w:rPr>
            </w:pPr>
          </w:p>
          <w:p w14:paraId="30D4BF47" w14:textId="77777777" w:rsidR="00CC779D" w:rsidRDefault="00CC779D" w:rsidP="0092355F">
            <w:pPr>
              <w:pStyle w:val="tacheseurasment"/>
              <w:rPr>
                <w:noProof/>
                <w:szCs w:val="20"/>
              </w:rPr>
            </w:pPr>
          </w:p>
          <w:p w14:paraId="6CBAD790" w14:textId="77777777" w:rsidR="00CC779D" w:rsidRDefault="00CC779D" w:rsidP="0092355F">
            <w:pPr>
              <w:pStyle w:val="tacheseurasment"/>
              <w:rPr>
                <w:noProof/>
                <w:szCs w:val="20"/>
              </w:rPr>
            </w:pPr>
          </w:p>
          <w:p w14:paraId="56ECA82C" w14:textId="77777777" w:rsidR="00CC779D" w:rsidRDefault="00CC779D" w:rsidP="0092355F">
            <w:pPr>
              <w:pStyle w:val="tacheseurasment"/>
              <w:rPr>
                <w:noProof/>
                <w:szCs w:val="20"/>
              </w:rPr>
            </w:pPr>
          </w:p>
        </w:tc>
        <w:tc>
          <w:tcPr>
            <w:tcW w:w="3828" w:type="dxa"/>
          </w:tcPr>
          <w:p w14:paraId="4FFC7960" w14:textId="77777777" w:rsidR="00CC779D" w:rsidRDefault="00CC779D" w:rsidP="0092355F">
            <w:pPr>
              <w:pStyle w:val="tacheseurasment"/>
              <w:rPr>
                <w:noProof/>
                <w:szCs w:val="20"/>
              </w:rPr>
            </w:pPr>
          </w:p>
        </w:tc>
      </w:tr>
      <w:bookmarkEnd w:id="0"/>
      <w:bookmarkEnd w:id="1"/>
    </w:tbl>
    <w:p w14:paraId="76C77F32" w14:textId="77777777" w:rsidR="00BF37FA" w:rsidRDefault="00BF37FA"/>
    <w:sectPr w:rsidR="00BF37FA" w:rsidSect="00EC027F">
      <w:pgSz w:w="11906" w:h="16838"/>
      <w:pgMar w:top="709" w:right="99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E4B71"/>
    <w:multiLevelType w:val="hybridMultilevel"/>
    <w:tmpl w:val="F24CED20"/>
    <w:lvl w:ilvl="0" w:tplc="48A4406E">
      <w:numFmt w:val="bullet"/>
      <w:lvlText w:val="-"/>
      <w:lvlJc w:val="left"/>
      <w:pPr>
        <w:ind w:left="360" w:hanging="360"/>
      </w:pPr>
      <w:rPr>
        <w:rFonts w:ascii="Arial" w:eastAsia="Cambria" w:hAnsi="Arial"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B680B0B"/>
    <w:multiLevelType w:val="hybridMultilevel"/>
    <w:tmpl w:val="89B0BE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FF09C4"/>
    <w:multiLevelType w:val="hybridMultilevel"/>
    <w:tmpl w:val="F2F07D82"/>
    <w:lvl w:ilvl="0" w:tplc="48A4406E">
      <w:numFmt w:val="bullet"/>
      <w:lvlText w:val="-"/>
      <w:lvlJc w:val="left"/>
      <w:pPr>
        <w:ind w:left="360" w:hanging="360"/>
      </w:pPr>
      <w:rPr>
        <w:rFonts w:ascii="Arial" w:eastAsia="Cambria" w:hAnsi="Arial" w:cs="Times New Roman"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8C619FD"/>
    <w:multiLevelType w:val="hybridMultilevel"/>
    <w:tmpl w:val="511CF1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8DF04BE"/>
    <w:multiLevelType w:val="hybridMultilevel"/>
    <w:tmpl w:val="393E4F0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384724099">
    <w:abstractNumId w:val="2"/>
  </w:num>
  <w:num w:numId="2" w16cid:durableId="840196199">
    <w:abstractNumId w:val="4"/>
  </w:num>
  <w:num w:numId="3" w16cid:durableId="1999460578">
    <w:abstractNumId w:val="3"/>
  </w:num>
  <w:num w:numId="4" w16cid:durableId="2053994969">
    <w:abstractNumId w:val="1"/>
  </w:num>
  <w:num w:numId="5" w16cid:durableId="365571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79D"/>
    <w:rsid w:val="000A6AA6"/>
    <w:rsid w:val="001247D8"/>
    <w:rsid w:val="003C18C6"/>
    <w:rsid w:val="004B5A39"/>
    <w:rsid w:val="00507431"/>
    <w:rsid w:val="007E4B3E"/>
    <w:rsid w:val="007F0E9C"/>
    <w:rsid w:val="00944A38"/>
    <w:rsid w:val="009A6228"/>
    <w:rsid w:val="009B5DA8"/>
    <w:rsid w:val="009D5CCC"/>
    <w:rsid w:val="009E6685"/>
    <w:rsid w:val="00BD4F4A"/>
    <w:rsid w:val="00BF37FA"/>
    <w:rsid w:val="00CB22D3"/>
    <w:rsid w:val="00CB4F9F"/>
    <w:rsid w:val="00CC779D"/>
    <w:rsid w:val="00DF2ED1"/>
    <w:rsid w:val="00EC027F"/>
    <w:rsid w:val="00F552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9CE5"/>
  <w15:chartTrackingRefBased/>
  <w15:docId w15:val="{212F98E4-71E2-424E-8F6C-169C0DE82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79D"/>
    <w:pPr>
      <w:spacing w:after="0" w:line="240" w:lineRule="auto"/>
    </w:pPr>
    <w:rPr>
      <w:rFonts w:ascii="Arial" w:eastAsia="Calibri" w:hAnsi="Arial" w:cs="Times New Roman"/>
    </w:rPr>
  </w:style>
  <w:style w:type="paragraph" w:styleId="Titre1">
    <w:name w:val="heading 1"/>
    <w:basedOn w:val="Normal"/>
    <w:next w:val="Normal"/>
    <w:link w:val="Titre1Car"/>
    <w:uiPriority w:val="9"/>
    <w:qFormat/>
    <w:rsid w:val="00CC779D"/>
    <w:pPr>
      <w:spacing w:after="120"/>
      <w:outlineLvl w:val="0"/>
    </w:pPr>
    <w:rPr>
      <w:rFonts w:eastAsia="Times New Roman"/>
      <w:b/>
      <w:color w:val="000000"/>
      <w:sz w:val="32"/>
      <w:szCs w:val="20"/>
      <w:lang w:eastAsia="fr-FR"/>
    </w:rPr>
  </w:style>
  <w:style w:type="paragraph" w:styleId="Titre2">
    <w:name w:val="heading 2"/>
    <w:basedOn w:val="tacheseurasment"/>
    <w:link w:val="Titre2Car"/>
    <w:uiPriority w:val="9"/>
    <w:qFormat/>
    <w:rsid w:val="00CC779D"/>
    <w:pPr>
      <w:spacing w:after="120"/>
      <w:outlineLvl w:val="1"/>
    </w:pPr>
    <w:rPr>
      <w:rFonts w:cs="Arial"/>
      <w:b/>
      <w:color w:val="000000"/>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C779D"/>
    <w:rPr>
      <w:rFonts w:ascii="Arial" w:eastAsia="Times New Roman" w:hAnsi="Arial" w:cs="Times New Roman"/>
      <w:b/>
      <w:color w:val="000000"/>
      <w:sz w:val="32"/>
      <w:szCs w:val="20"/>
      <w:lang w:eastAsia="fr-FR"/>
    </w:rPr>
  </w:style>
  <w:style w:type="character" w:customStyle="1" w:styleId="Titre2Car">
    <w:name w:val="Titre 2 Car"/>
    <w:basedOn w:val="Policepardfaut"/>
    <w:link w:val="Titre2"/>
    <w:uiPriority w:val="9"/>
    <w:rsid w:val="00CC779D"/>
    <w:rPr>
      <w:rFonts w:ascii="Arial" w:eastAsia="Times New Roman" w:hAnsi="Arial" w:cs="Arial"/>
      <w:b/>
      <w:color w:val="000000"/>
      <w:sz w:val="28"/>
      <w:szCs w:val="20"/>
      <w:lang w:eastAsia="fr-FR"/>
    </w:rPr>
  </w:style>
  <w:style w:type="paragraph" w:customStyle="1" w:styleId="tacheseurasment">
    <w:name w:val="taches eurasment"/>
    <w:basedOn w:val="Normal"/>
    <w:rsid w:val="00CC779D"/>
    <w:rPr>
      <w:rFonts w:eastAsia="Times New Roman"/>
      <w:sz w:val="20"/>
      <w:szCs w:val="24"/>
      <w:lang w:eastAsia="fr-FR"/>
    </w:rPr>
  </w:style>
  <w:style w:type="paragraph" w:customStyle="1" w:styleId="Listecouleur-Accent11">
    <w:name w:val="Liste couleur - Accent 11"/>
    <w:basedOn w:val="Normal"/>
    <w:uiPriority w:val="34"/>
    <w:qFormat/>
    <w:rsid w:val="00CC779D"/>
    <w:pPr>
      <w:ind w:left="720"/>
      <w:contextualSpacing/>
    </w:pPr>
  </w:style>
  <w:style w:type="table" w:styleId="Grilledutableau">
    <w:name w:val="Table Grid"/>
    <w:basedOn w:val="TableauNormal"/>
    <w:rsid w:val="00CC779D"/>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C779D"/>
    <w:pPr>
      <w:ind w:left="720"/>
      <w:contextualSpacing/>
    </w:pPr>
  </w:style>
  <w:style w:type="paragraph" w:customStyle="1" w:styleId="Style1">
    <w:name w:val="Style 1"/>
    <w:uiPriority w:val="99"/>
    <w:rsid w:val="00CC779D"/>
    <w:pPr>
      <w:widowControl w:val="0"/>
      <w:autoSpaceDE w:val="0"/>
      <w:autoSpaceDN w:val="0"/>
      <w:spacing w:before="180" w:after="0" w:line="314" w:lineRule="auto"/>
    </w:pPr>
    <w:rPr>
      <w:rFonts w:ascii="Arial" w:eastAsia="SimSun" w:hAnsi="Arial" w:cs="Arial"/>
      <w:i/>
      <w:iCs/>
      <w:sz w:val="20"/>
      <w:szCs w:val="20"/>
      <w:lang w:eastAsia="zh-CN"/>
    </w:rPr>
  </w:style>
  <w:style w:type="character" w:customStyle="1" w:styleId="CharacterStyle1">
    <w:name w:val="Character Style 1"/>
    <w:uiPriority w:val="99"/>
    <w:rsid w:val="00CC779D"/>
    <w:rPr>
      <w:rFonts w:ascii="Arial" w:hAnsi="Arial"/>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444</Words>
  <Characters>2444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12</cp:revision>
  <dcterms:created xsi:type="dcterms:W3CDTF">2015-03-23T13:42:00Z</dcterms:created>
  <dcterms:modified xsi:type="dcterms:W3CDTF">2025-05-01T21:41:00Z</dcterms:modified>
</cp:coreProperties>
</file>