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48" w:type="dxa"/>
        <w:shd w:val="clear" w:color="auto" w:fill="92D050"/>
        <w:tblLook w:val="04A0" w:firstRow="1" w:lastRow="0" w:firstColumn="1" w:lastColumn="0" w:noHBand="0" w:noVBand="1"/>
      </w:tblPr>
      <w:tblGrid>
        <w:gridCol w:w="1555"/>
        <w:gridCol w:w="6767"/>
        <w:gridCol w:w="1626"/>
      </w:tblGrid>
      <w:tr w:rsidR="00A43BE7" w:rsidRPr="002830EB" w14:paraId="24BA3316" w14:textId="77777777" w:rsidTr="004E3BA1">
        <w:trPr>
          <w:trHeight w:val="386"/>
        </w:trPr>
        <w:tc>
          <w:tcPr>
            <w:tcW w:w="8323" w:type="dxa"/>
            <w:gridSpan w:val="2"/>
            <w:shd w:val="clear" w:color="auto" w:fill="92D050"/>
            <w:vAlign w:val="center"/>
          </w:tcPr>
          <w:p w14:paraId="03D05AAC" w14:textId="77777777" w:rsidR="00A43BE7" w:rsidRPr="002830EB" w:rsidRDefault="00A43BE7" w:rsidP="004E3BA1">
            <w:pPr>
              <w:pStyle w:val="Titre3"/>
              <w:spacing w:before="120"/>
              <w:jc w:val="center"/>
              <w:rPr>
                <w:sz w:val="28"/>
                <w:szCs w:val="32"/>
              </w:rPr>
            </w:pPr>
            <w:r w:rsidRPr="002830EB">
              <w:rPr>
                <w:sz w:val="28"/>
                <w:szCs w:val="32"/>
              </w:rPr>
              <w:t xml:space="preserve">Mission </w:t>
            </w:r>
            <w:r>
              <w:rPr>
                <w:sz w:val="28"/>
                <w:szCs w:val="32"/>
              </w:rPr>
              <w:t>12</w:t>
            </w:r>
            <w:r w:rsidRPr="002830EB">
              <w:rPr>
                <w:sz w:val="28"/>
                <w:szCs w:val="32"/>
              </w:rPr>
              <w:t xml:space="preserve"> – </w:t>
            </w:r>
            <w:r>
              <w:rPr>
                <w:sz w:val="28"/>
                <w:szCs w:val="32"/>
              </w:rPr>
              <w:t>Présenter une entreprise</w:t>
            </w:r>
          </w:p>
        </w:tc>
        <w:tc>
          <w:tcPr>
            <w:tcW w:w="1625" w:type="dxa"/>
            <w:shd w:val="clear" w:color="auto" w:fill="92D050"/>
            <w:vAlign w:val="center"/>
          </w:tcPr>
          <w:p w14:paraId="6B332909" w14:textId="77777777" w:rsidR="00A43BE7" w:rsidRPr="002830EB" w:rsidRDefault="00A43BE7" w:rsidP="004E3BA1">
            <w:pPr>
              <w:pStyle w:val="Titre3"/>
              <w:spacing w:before="60" w:after="60"/>
              <w:jc w:val="center"/>
              <w:rPr>
                <w:sz w:val="28"/>
                <w:szCs w:val="32"/>
              </w:rPr>
            </w:pPr>
            <w:r>
              <w:rPr>
                <w:noProof/>
                <w:szCs w:val="28"/>
              </w:rPr>
              <w:drawing>
                <wp:inline distT="0" distB="0" distL="0" distR="0" wp14:anchorId="684E5A3C" wp14:editId="20E8AD01">
                  <wp:extent cx="889276" cy="776159"/>
                  <wp:effectExtent l="0" t="0" r="6350" b="5080"/>
                  <wp:docPr id="556539836" name="Image 5" descr="Une image contenant logo,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90025" name="Image 5" descr="Une image contenant logo, Police, Graphique,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0062" cy="776845"/>
                          </a:xfrm>
                          <a:prstGeom prst="rect">
                            <a:avLst/>
                          </a:prstGeom>
                        </pic:spPr>
                      </pic:pic>
                    </a:graphicData>
                  </a:graphic>
                </wp:inline>
              </w:drawing>
            </w:r>
          </w:p>
        </w:tc>
      </w:tr>
      <w:tr w:rsidR="00A43BE7" w:rsidRPr="00922030" w14:paraId="02F06E9A" w14:textId="77777777" w:rsidTr="004E3BA1">
        <w:trPr>
          <w:trHeight w:val="386"/>
        </w:trPr>
        <w:tc>
          <w:tcPr>
            <w:tcW w:w="1555" w:type="dxa"/>
            <w:shd w:val="clear" w:color="auto" w:fill="92D050"/>
            <w:vAlign w:val="center"/>
          </w:tcPr>
          <w:p w14:paraId="16468D5D" w14:textId="77777777" w:rsidR="00A43BE7" w:rsidRPr="00922030" w:rsidRDefault="00A43BE7" w:rsidP="004E3BA1">
            <w:pPr>
              <w:jc w:val="center"/>
            </w:pPr>
            <w:r w:rsidRPr="00922030">
              <w:t xml:space="preserve">Durée : 1 h </w:t>
            </w:r>
            <w:r>
              <w:t>3</w:t>
            </w:r>
            <w:r w:rsidRPr="00922030">
              <w:t>0’</w:t>
            </w:r>
          </w:p>
        </w:tc>
        <w:tc>
          <w:tcPr>
            <w:tcW w:w="6768" w:type="dxa"/>
            <w:shd w:val="clear" w:color="auto" w:fill="92D050"/>
            <w:vAlign w:val="center"/>
          </w:tcPr>
          <w:p w14:paraId="2BA9EF5F" w14:textId="77777777" w:rsidR="00A43BE7" w:rsidRPr="00922030" w:rsidRDefault="00A43BE7" w:rsidP="004E3BA1">
            <w:pPr>
              <w:jc w:val="center"/>
              <w:rPr>
                <w:rFonts w:ascii="Calibri" w:hAnsi="Calibri"/>
              </w:rPr>
            </w:pPr>
            <w:r>
              <w:rPr>
                <w:rFonts w:cs="Arial"/>
                <w:bCs/>
                <w:iCs/>
                <w:noProof/>
              </w:rPr>
              <w:drawing>
                <wp:inline distT="0" distB="0" distL="0" distR="0" wp14:anchorId="1941C6D9" wp14:editId="0B763140">
                  <wp:extent cx="324000" cy="324000"/>
                  <wp:effectExtent l="0" t="0" r="0" b="0"/>
                  <wp:docPr id="659579678" name="Graphique 65957967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9248" name="Graphique 83320924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1625" w:type="dxa"/>
            <w:shd w:val="clear" w:color="auto" w:fill="92D050"/>
            <w:vAlign w:val="center"/>
          </w:tcPr>
          <w:p w14:paraId="3150C709" w14:textId="77777777" w:rsidR="00A43BE7" w:rsidRPr="00922030" w:rsidRDefault="00A43BE7" w:rsidP="004E3BA1">
            <w:pPr>
              <w:jc w:val="center"/>
              <w:rPr>
                <w:rFonts w:ascii="Calibri" w:hAnsi="Calibri"/>
              </w:rPr>
            </w:pPr>
            <w:r w:rsidRPr="00922030">
              <w:rPr>
                <w:rFonts w:cs="Arial"/>
              </w:rPr>
              <w:t>Source </w:t>
            </w:r>
            <w:r>
              <w:rPr>
                <w:rFonts w:cs="Arial"/>
              </w:rPr>
              <w:t>|</w:t>
            </w:r>
            <w:r w:rsidRPr="00922030">
              <w:rPr>
                <w:rFonts w:cs="Arial"/>
              </w:rPr>
              <w:t xml:space="preserve"> </w:t>
            </w:r>
            <w:r>
              <w:rPr>
                <w:rFonts w:cs="Arial"/>
              </w:rPr>
              <w:t>l</w:t>
            </w:r>
            <w:r w:rsidRPr="00922030">
              <w:rPr>
                <w:rFonts w:cs="Arial"/>
              </w:rPr>
              <w:t>ogo</w:t>
            </w:r>
          </w:p>
        </w:tc>
      </w:tr>
    </w:tbl>
    <w:p w14:paraId="5CCFC49D" w14:textId="77777777" w:rsidR="00A43BE7" w:rsidRDefault="00A43BE7" w:rsidP="00A43BE7"/>
    <w:p w14:paraId="29B69D7F" w14:textId="77777777" w:rsidR="00A43BE7" w:rsidRPr="009003FA" w:rsidRDefault="00A43BE7" w:rsidP="00A43BE7">
      <w:pPr>
        <w:rPr>
          <w:b/>
          <w:sz w:val="24"/>
        </w:rPr>
      </w:pPr>
      <w:r w:rsidRPr="009003FA">
        <w:rPr>
          <w:b/>
          <w:sz w:val="24"/>
        </w:rPr>
        <w:t>Contexte professionnel</w:t>
      </w:r>
    </w:p>
    <w:p w14:paraId="5DC4CF2D" w14:textId="77777777" w:rsidR="00A43BE7" w:rsidRDefault="00A43BE7" w:rsidP="00A43BE7">
      <w:pPr>
        <w:spacing w:before="120"/>
        <w:jc w:val="both"/>
      </w:pPr>
      <w:r>
        <w:rPr>
          <w:noProof/>
        </w:rPr>
        <w:drawing>
          <wp:anchor distT="0" distB="0" distL="114300" distR="114300" simplePos="0" relativeHeight="251659264" behindDoc="0" locked="0" layoutInCell="1" allowOverlap="1" wp14:anchorId="504C237D" wp14:editId="13FA57F1">
            <wp:simplePos x="0" y="0"/>
            <wp:positionH relativeFrom="margin">
              <wp:posOffset>4625975</wp:posOffset>
            </wp:positionH>
            <wp:positionV relativeFrom="paragraph">
              <wp:posOffset>617855</wp:posOffset>
            </wp:positionV>
            <wp:extent cx="1674495" cy="1114425"/>
            <wp:effectExtent l="0" t="0" r="1905" b="9525"/>
            <wp:wrapSquare wrapText="bothSides"/>
            <wp:docPr id="1722236548" name="Image 36" descr="Projet FairWastes : Vers les centres de tri nouvelle génération - Excoffier  recyc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jet FairWastes : Vers les centres de tri nouvelle génération - Excoffier  recycl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49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0"/>
        </w:rPr>
        <w:t xml:space="preserve">La société Berod est un référent métier dans la collecte et la gestion des déchets. </w:t>
      </w:r>
      <w:r w:rsidRPr="001848E1">
        <w:rPr>
          <w:szCs w:val="20"/>
        </w:rPr>
        <w:t>Elle est dirigée par</w:t>
      </w:r>
      <w:r>
        <w:rPr>
          <w:szCs w:val="20"/>
        </w:rPr>
        <w:t xml:space="preserve"> Sylvie Berod. Après 10 ans d'expérience, elle propose une solution globale dans le domaine du recyclage qui s'étend de la récupération des ferrailles et métaux au </w:t>
      </w:r>
      <w:proofErr w:type="gramStart"/>
      <w:r>
        <w:rPr>
          <w:szCs w:val="20"/>
        </w:rPr>
        <w:t>tri sélectif</w:t>
      </w:r>
      <w:proofErr w:type="gramEnd"/>
      <w:r>
        <w:rPr>
          <w:szCs w:val="20"/>
        </w:rPr>
        <w:t xml:space="preserve"> et à la valorisation des déchets. Elle travaille essentiellement avec les entreprises, les collectivités locales et les particuliers.</w:t>
      </w:r>
    </w:p>
    <w:p w14:paraId="624CDA78" w14:textId="77777777" w:rsidR="00A43BE7" w:rsidRDefault="00A43BE7" w:rsidP="00A43BE7">
      <w:pPr>
        <w:spacing w:before="120"/>
        <w:jc w:val="both"/>
      </w:pPr>
      <w:r>
        <w:t>La société Bérod mais à la disposition des entreprises qui le souhaitent des bennes à déchets. Le tarif pratiqué varie en fonction du volume de la benne, de la nature des déchets collectés, et du secteur géographique de collecte.</w:t>
      </w:r>
    </w:p>
    <w:p w14:paraId="396627BA" w14:textId="77777777" w:rsidR="00A43BE7" w:rsidRDefault="00A43BE7" w:rsidP="00A43BE7">
      <w:pPr>
        <w:spacing w:before="120"/>
      </w:pPr>
      <w:r>
        <w:t>L</w:t>
      </w:r>
      <w:r w:rsidRPr="00713DCE">
        <w:t>'entreprise a conçu une chaîne de tri de très haute technologie surnommé</w:t>
      </w:r>
      <w:r>
        <w:t xml:space="preserve"> </w:t>
      </w:r>
      <w:r w:rsidRPr="00C17EEF">
        <w:t xml:space="preserve">« </w:t>
      </w:r>
      <w:r>
        <w:t>NovaTri</w:t>
      </w:r>
      <w:r w:rsidRPr="00C17EEF">
        <w:t xml:space="preserve"> »</w:t>
      </w:r>
      <w:r>
        <w:t xml:space="preserve">. </w:t>
      </w:r>
      <w:r w:rsidRPr="00713DCE">
        <w:t>Cette dernière valorise plus de 90</w:t>
      </w:r>
      <w:r>
        <w:t xml:space="preserve"> </w:t>
      </w:r>
      <w:r w:rsidRPr="00713DCE">
        <w:t>% des déchets industriels banals</w:t>
      </w:r>
      <w:r>
        <w:t xml:space="preserve"> </w:t>
      </w:r>
      <w:r w:rsidRPr="00C17EEF">
        <w:t xml:space="preserve">(DIB) et </w:t>
      </w:r>
      <w:r>
        <w:t xml:space="preserve">limite </w:t>
      </w:r>
      <w:r w:rsidRPr="00C17EEF">
        <w:t>ainsi les refus de tri vers les incinérateurs et centres d’enfouissement.</w:t>
      </w:r>
      <w:r>
        <w:t xml:space="preserve"> Cet investissement de plusieurs millions d’euros a pu être financé avec le soutien de la région et du département.</w:t>
      </w:r>
    </w:p>
    <w:p w14:paraId="1F0EE742" w14:textId="77777777" w:rsidR="00A43BE7" w:rsidRPr="00C17EEF" w:rsidRDefault="00A43BE7" w:rsidP="00A43BE7">
      <w:pPr>
        <w:spacing w:before="120"/>
      </w:pPr>
      <w:r w:rsidRPr="001848E1">
        <w:t>Afin de faire connaître l'entreprise</w:t>
      </w:r>
      <w:r>
        <w:t>, s</w:t>
      </w:r>
      <w:r w:rsidRPr="001848E1">
        <w:t>es services</w:t>
      </w:r>
      <w:r>
        <w:t xml:space="preserve"> </w:t>
      </w:r>
      <w:r w:rsidRPr="001848E1">
        <w:t xml:space="preserve">et </w:t>
      </w:r>
      <w:r>
        <w:t>s</w:t>
      </w:r>
      <w:r w:rsidRPr="001848E1">
        <w:t>es technologies M</w:t>
      </w:r>
      <w:r w:rsidRPr="001848E1">
        <w:rPr>
          <w:vertAlign w:val="superscript"/>
        </w:rPr>
        <w:t>me</w:t>
      </w:r>
      <w:r w:rsidRPr="001848E1">
        <w:t xml:space="preserve"> </w:t>
      </w:r>
      <w:r>
        <w:t>Bérod (directrice)</w:t>
      </w:r>
      <w:r w:rsidRPr="001848E1">
        <w:t xml:space="preserve"> souhaite mettre à la disposition des commerciaux un diaporama</w:t>
      </w:r>
      <w:r>
        <w:t xml:space="preserve">. </w:t>
      </w:r>
      <w:r w:rsidRPr="001848E1">
        <w:t>Elle vous confie ce travail</w:t>
      </w:r>
      <w:r>
        <w:t>.</w:t>
      </w:r>
    </w:p>
    <w:p w14:paraId="19CA9CE8" w14:textId="77777777" w:rsidR="00A43BE7" w:rsidRPr="000B72A1" w:rsidRDefault="00A43BE7" w:rsidP="00A43BE7">
      <w:pPr>
        <w:tabs>
          <w:tab w:val="left" w:pos="7905"/>
        </w:tabs>
        <w:spacing w:before="120"/>
        <w:jc w:val="center"/>
        <w:rPr>
          <w:b/>
          <w:sz w:val="24"/>
          <w:szCs w:val="24"/>
        </w:rPr>
      </w:pPr>
      <w:r w:rsidRPr="000B72A1">
        <w:rPr>
          <w:b/>
          <w:sz w:val="24"/>
          <w:szCs w:val="24"/>
        </w:rPr>
        <w:t>Berod Recyclage</w:t>
      </w:r>
    </w:p>
    <w:p w14:paraId="0CF2202A" w14:textId="77777777" w:rsidR="00A43BE7" w:rsidRDefault="00A43BE7" w:rsidP="00A43BE7">
      <w:pPr>
        <w:tabs>
          <w:tab w:val="left" w:pos="7905"/>
        </w:tabs>
        <w:jc w:val="center"/>
        <w:rPr>
          <w:szCs w:val="20"/>
        </w:rPr>
      </w:pPr>
      <w:r>
        <w:rPr>
          <w:szCs w:val="20"/>
        </w:rPr>
        <w:t>145, route des aulnes, 13000 Marseille, France</w:t>
      </w:r>
      <w:r>
        <w:rPr>
          <w:szCs w:val="20"/>
        </w:rPr>
        <w:br/>
        <w:t>Tél. administratif : 06 91 42 20 xx, Tél. Commercial : 06 91 42 21 xx, Tél. logistique : 06 91 42 22 xx</w:t>
      </w:r>
    </w:p>
    <w:p w14:paraId="3FC8A15B" w14:textId="77777777" w:rsidR="00A43BE7" w:rsidRDefault="00A43BE7" w:rsidP="00A43BE7">
      <w:pPr>
        <w:tabs>
          <w:tab w:val="left" w:pos="7905"/>
        </w:tabs>
        <w:jc w:val="center"/>
        <w:rPr>
          <w:szCs w:val="20"/>
        </w:rPr>
      </w:pPr>
      <w:r>
        <w:rPr>
          <w:szCs w:val="20"/>
        </w:rPr>
        <w:t xml:space="preserve">Mél : </w:t>
      </w:r>
      <w:hyperlink r:id="rId9" w:history="1">
        <w:r>
          <w:rPr>
            <w:rStyle w:val="Lienhypertexte"/>
            <w:szCs w:val="20"/>
          </w:rPr>
          <w:t>contact@berod-recyclage.fr</w:t>
        </w:r>
      </w:hyperlink>
      <w:r>
        <w:t xml:space="preserve"> </w:t>
      </w:r>
      <w:r>
        <w:rPr>
          <w:szCs w:val="20"/>
        </w:rPr>
        <w:t xml:space="preserve">- site : </w:t>
      </w:r>
      <w:hyperlink r:id="rId10" w:history="1">
        <w:r>
          <w:rPr>
            <w:rStyle w:val="Lienhypertexte"/>
            <w:szCs w:val="20"/>
          </w:rPr>
          <w:t>http://www.berod-recyclage.fr</w:t>
        </w:r>
      </w:hyperlink>
    </w:p>
    <w:p w14:paraId="0EE2FF72" w14:textId="77777777" w:rsidR="00A43BE7" w:rsidRDefault="00A43BE7" w:rsidP="00A43BE7">
      <w:pPr>
        <w:pStyle w:val="Titre3"/>
        <w:spacing w:before="120" w:after="60"/>
      </w:pPr>
      <w:r>
        <w:t>Travail à faire :</w:t>
      </w:r>
    </w:p>
    <w:p w14:paraId="356E74A8" w14:textId="77777777" w:rsidR="00A43BE7" w:rsidRDefault="00A43BE7" w:rsidP="00A43BE7">
      <w:pPr>
        <w:pStyle w:val="Paragraphedeliste"/>
        <w:numPr>
          <w:ilvl w:val="0"/>
          <w:numId w:val="15"/>
        </w:numPr>
      </w:pPr>
      <w:r>
        <w:t>C</w:t>
      </w:r>
      <w:r w:rsidRPr="001848E1">
        <w:t>oncevez le diaporama à partir des données qui vous sont transmise</w:t>
      </w:r>
      <w:r>
        <w:t>s (</w:t>
      </w:r>
      <w:r w:rsidRPr="00C324BA">
        <w:rPr>
          <w:b/>
          <w:bCs/>
        </w:rPr>
        <w:t>document</w:t>
      </w:r>
      <w:r>
        <w:t>).</w:t>
      </w:r>
    </w:p>
    <w:p w14:paraId="697E2C5E" w14:textId="77777777" w:rsidR="00A43BE7" w:rsidRDefault="00A43BE7" w:rsidP="00A43BE7">
      <w:pPr>
        <w:pStyle w:val="Paragraphedeliste"/>
        <w:numPr>
          <w:ilvl w:val="0"/>
          <w:numId w:val="15"/>
        </w:numPr>
      </w:pPr>
      <w:r>
        <w:t>illustrez à chaque diapositive à l’aide de WordArt et d’images.</w:t>
      </w:r>
    </w:p>
    <w:p w14:paraId="2878FC19" w14:textId="77777777" w:rsidR="00A43BE7" w:rsidRDefault="00A43BE7" w:rsidP="00A43BE7">
      <w:pPr>
        <w:pStyle w:val="Paragraphedeliste"/>
        <w:numPr>
          <w:ilvl w:val="0"/>
          <w:numId w:val="15"/>
        </w:numPr>
      </w:pPr>
      <w:r>
        <w:t>Testez puis sauvegardez votre diaporama.</w:t>
      </w:r>
    </w:p>
    <w:p w14:paraId="446C1EC7" w14:textId="77777777" w:rsidR="00A43BE7" w:rsidRDefault="00A43BE7" w:rsidP="00A43BE7">
      <w:r>
        <w:rPr>
          <w:noProof/>
          <w:szCs w:val="28"/>
        </w:rPr>
        <w:drawing>
          <wp:anchor distT="0" distB="0" distL="114300" distR="114300" simplePos="0" relativeHeight="251660288" behindDoc="0" locked="0" layoutInCell="1" allowOverlap="1" wp14:anchorId="060C70C0" wp14:editId="264E3212">
            <wp:simplePos x="0" y="0"/>
            <wp:positionH relativeFrom="margin">
              <wp:align>right</wp:align>
            </wp:positionH>
            <wp:positionV relativeFrom="paragraph">
              <wp:posOffset>60325</wp:posOffset>
            </wp:positionV>
            <wp:extent cx="680720" cy="594360"/>
            <wp:effectExtent l="19050" t="19050" r="24130" b="15240"/>
            <wp:wrapSquare wrapText="bothSides"/>
            <wp:docPr id="322453579" name="Image 5" descr="Une image contenant logo,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90025" name="Image 5" descr="Une image contenant logo, Police, Graphique,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720" cy="594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2E58E04" w14:textId="77777777" w:rsidR="00A43BE7" w:rsidRPr="00BC2873" w:rsidRDefault="00A43BE7" w:rsidP="00A43BE7">
      <w:pPr>
        <w:spacing w:after="120"/>
        <w:rPr>
          <w:b/>
          <w:sz w:val="24"/>
        </w:rPr>
      </w:pPr>
      <w:r w:rsidRPr="00CE7C80">
        <w:rPr>
          <w:b/>
          <w:color w:val="FFFFFF" w:themeColor="background1"/>
          <w:sz w:val="24"/>
          <w:highlight w:val="red"/>
        </w:rPr>
        <w:t>Doc</w:t>
      </w:r>
      <w:r>
        <w:rPr>
          <w:b/>
          <w:color w:val="FFFFFF" w:themeColor="background1"/>
          <w:sz w:val="24"/>
          <w:highlight w:val="red"/>
        </w:rPr>
        <w:t xml:space="preserve">. </w:t>
      </w:r>
      <w:r w:rsidRPr="00CE7C80">
        <w:rPr>
          <w:b/>
          <w:color w:val="FFFFFF" w:themeColor="background1"/>
          <w:sz w:val="24"/>
        </w:rPr>
        <w:t xml:space="preserve"> </w:t>
      </w:r>
      <w:r>
        <w:rPr>
          <w:b/>
          <w:color w:val="FFFFFF" w:themeColor="background1"/>
          <w:sz w:val="24"/>
        </w:rPr>
        <w:t xml:space="preserve"> </w:t>
      </w:r>
      <w:r w:rsidRPr="00BC2873">
        <w:rPr>
          <w:b/>
          <w:sz w:val="24"/>
        </w:rPr>
        <w:t xml:space="preserve">Présentation de la société </w:t>
      </w:r>
      <w:r>
        <w:rPr>
          <w:b/>
          <w:sz w:val="24"/>
        </w:rPr>
        <w:t>Berod Recyclage</w:t>
      </w:r>
    </w:p>
    <w:p w14:paraId="3B85DB23" w14:textId="77777777" w:rsidR="00A43BE7" w:rsidRPr="0065660C" w:rsidRDefault="00A43BE7" w:rsidP="00A43BE7">
      <w:pPr>
        <w:spacing w:before="120"/>
        <w:rPr>
          <w:b/>
          <w:bCs/>
          <w:i/>
          <w:iCs/>
        </w:rPr>
      </w:pPr>
      <w:r w:rsidRPr="0065660C">
        <w:rPr>
          <w:b/>
          <w:bCs/>
          <w:i/>
          <w:iCs/>
        </w:rPr>
        <w:t>Acteur du recyclage sur PACA</w:t>
      </w:r>
    </w:p>
    <w:p w14:paraId="1934A396" w14:textId="77777777" w:rsidR="00A43BE7" w:rsidRPr="0065660C" w:rsidRDefault="00A43BE7" w:rsidP="00A43BE7">
      <w:r w:rsidRPr="0065660C">
        <w:t xml:space="preserve">Depuis sa création, l’entreprise Berod Recyclage participe à la protection de l’environnement, au développement durable et à la valorisation de nos ressources par la gestion des déchets sur </w:t>
      </w:r>
      <w:r>
        <w:t>la région PACA</w:t>
      </w:r>
      <w:r w:rsidRPr="0065660C">
        <w:t>.</w:t>
      </w:r>
    </w:p>
    <w:p w14:paraId="1374821E" w14:textId="77777777" w:rsidR="00A43BE7" w:rsidRPr="0065660C" w:rsidRDefault="00A43BE7" w:rsidP="00A43BE7">
      <w:pPr>
        <w:spacing w:before="60"/>
        <w:jc w:val="both"/>
      </w:pPr>
      <w:r w:rsidRPr="0065660C">
        <w:t>Historiquement spécialisée dans la collecte et la valorisation des métaux ferreux et non ferreux, la confiance de nos clients nous poussera très rapidement vers la récupération et le traitement des déchets non dangereux et dangereux.</w:t>
      </w:r>
    </w:p>
    <w:p w14:paraId="77B07D74" w14:textId="77777777" w:rsidR="00A43BE7" w:rsidRPr="0065660C" w:rsidRDefault="00A43BE7" w:rsidP="00A43BE7">
      <w:pPr>
        <w:spacing w:before="60"/>
        <w:jc w:val="both"/>
      </w:pPr>
      <w:r w:rsidRPr="0065660C">
        <w:t>L’arrivée Sylvie Berod renforcera notre capacité à nous développer vers la gestion globale et la valorisation dans les Bouches-du-Rhône. Aujourd’hui nous sommes le leader incontesté de l’économie circulaire en région PACA.</w:t>
      </w:r>
    </w:p>
    <w:p w14:paraId="48C9D30F" w14:textId="77777777" w:rsidR="00A43BE7" w:rsidRPr="0065660C" w:rsidRDefault="00A43BE7" w:rsidP="00A43BE7">
      <w:pPr>
        <w:spacing w:before="120"/>
        <w:rPr>
          <w:b/>
          <w:bCs/>
          <w:i/>
          <w:iCs/>
        </w:rPr>
      </w:pPr>
      <w:r w:rsidRPr="0065660C">
        <w:rPr>
          <w:b/>
          <w:bCs/>
          <w:i/>
          <w:iCs/>
        </w:rPr>
        <w:t>Acteur local inscrit dans une démarche nationale</w:t>
      </w:r>
    </w:p>
    <w:p w14:paraId="01B2D379" w14:textId="77777777" w:rsidR="00A43BE7" w:rsidRPr="0065660C" w:rsidRDefault="00A43BE7" w:rsidP="00A43BE7">
      <w:pPr>
        <w:jc w:val="both"/>
      </w:pPr>
      <w:r w:rsidRPr="0065660C">
        <w:t>Membre fondateur de Praxy, Berod Recyclage a pris une dimension nationale en 1999, en s’inscrivant dans ce réseau de PME spécialisé dans la gestion des déchets. En effet, Praxy est la société commerciale d’un Réseau d’Entreprises qui a pour activité principale la gestion des déchets Dangereux et non Dangereux, avec une pratique préférentielle du recyclage.</w:t>
      </w:r>
    </w:p>
    <w:p w14:paraId="44678773" w14:textId="77777777" w:rsidR="00A43BE7" w:rsidRPr="0065660C" w:rsidRDefault="00A43BE7" w:rsidP="00A43BE7">
      <w:pPr>
        <w:spacing w:before="60"/>
      </w:pPr>
      <w:r w:rsidRPr="0065660C">
        <w:t>Ces entreprises se sont unies et ont mis en commun leurs compétences et leurs moyens afin de se doter d’une dimension nationale tout en conservant la réactivité d’entreprises de proximité.</w:t>
      </w:r>
    </w:p>
    <w:p w14:paraId="52C40CFD" w14:textId="77777777" w:rsidR="00A43BE7" w:rsidRPr="0065660C" w:rsidRDefault="00A43BE7" w:rsidP="00A43BE7">
      <w:pPr>
        <w:spacing w:before="120"/>
        <w:rPr>
          <w:b/>
          <w:bCs/>
          <w:i/>
          <w:iCs/>
        </w:rPr>
      </w:pPr>
      <w:r w:rsidRPr="0065660C">
        <w:rPr>
          <w:b/>
          <w:bCs/>
          <w:i/>
          <w:iCs/>
        </w:rPr>
        <w:t>Berod, un travail validé par les éco-organismes publics</w:t>
      </w:r>
    </w:p>
    <w:p w14:paraId="463317F5" w14:textId="77777777" w:rsidR="00A43BE7" w:rsidRPr="0065660C" w:rsidRDefault="00A43BE7" w:rsidP="00A43BE7">
      <w:r w:rsidRPr="0065660C">
        <w:t>Témoin de notre savoir-faire en matière de gestion et valorisation des déchets, Berod Recyclage répond aux cahiers des charges de plusieurs éco-organismes publics.</w:t>
      </w:r>
    </w:p>
    <w:p w14:paraId="312AE7DF" w14:textId="77777777" w:rsidR="00A43BE7" w:rsidRPr="00C324BA" w:rsidRDefault="00A43BE7" w:rsidP="00A43BE7">
      <w:pPr>
        <w:numPr>
          <w:ilvl w:val="0"/>
          <w:numId w:val="10"/>
        </w:numPr>
      </w:pPr>
      <w:r w:rsidRPr="00C324BA">
        <w:rPr>
          <w:b/>
          <w:bCs/>
        </w:rPr>
        <w:t>Eco-mobilier</w:t>
      </w:r>
      <w:r w:rsidRPr="00C324BA">
        <w:t> collecte et valorisation de meubles usagers</w:t>
      </w:r>
    </w:p>
    <w:p w14:paraId="560E35FE" w14:textId="77777777" w:rsidR="00A43BE7" w:rsidRPr="00C324BA" w:rsidRDefault="00A43BE7" w:rsidP="00A43BE7">
      <w:pPr>
        <w:numPr>
          <w:ilvl w:val="0"/>
          <w:numId w:val="10"/>
        </w:numPr>
      </w:pPr>
      <w:r w:rsidRPr="00C324BA">
        <w:rPr>
          <w:b/>
          <w:bCs/>
        </w:rPr>
        <w:t>Ecosystème</w:t>
      </w:r>
      <w:r w:rsidRPr="00C324BA">
        <w:t> collecte et valorisation des déchets d’équipements électriques ou électroniques (DEEE)</w:t>
      </w:r>
    </w:p>
    <w:p w14:paraId="7A3A4542" w14:textId="77777777" w:rsidR="00A43BE7" w:rsidRPr="00C324BA" w:rsidRDefault="00A43BE7" w:rsidP="00A43BE7">
      <w:pPr>
        <w:numPr>
          <w:ilvl w:val="0"/>
          <w:numId w:val="10"/>
        </w:numPr>
      </w:pPr>
      <w:r w:rsidRPr="00C324BA">
        <w:rPr>
          <w:b/>
          <w:bCs/>
        </w:rPr>
        <w:t>Corepile</w:t>
      </w:r>
      <w:r w:rsidRPr="00C324BA">
        <w:t> collecte et valorisation de piles et petites batteries</w:t>
      </w:r>
    </w:p>
    <w:p w14:paraId="287FFC13" w14:textId="77777777" w:rsidR="00A43BE7" w:rsidRPr="00C324BA" w:rsidRDefault="00A43BE7" w:rsidP="00A43BE7">
      <w:pPr>
        <w:numPr>
          <w:ilvl w:val="0"/>
          <w:numId w:val="10"/>
        </w:numPr>
      </w:pPr>
      <w:r w:rsidRPr="00C324BA">
        <w:rPr>
          <w:b/>
          <w:bCs/>
        </w:rPr>
        <w:t>Eco DDS</w:t>
      </w:r>
      <w:r w:rsidRPr="00C324BA">
        <w:t> collecte et valorisation des déchets dangereux ménagers</w:t>
      </w:r>
    </w:p>
    <w:p w14:paraId="50F62B8F" w14:textId="77777777" w:rsidR="00A43BE7" w:rsidRPr="00C324BA" w:rsidRDefault="00A43BE7" w:rsidP="00A43BE7">
      <w:pPr>
        <w:numPr>
          <w:ilvl w:val="0"/>
          <w:numId w:val="10"/>
        </w:numPr>
      </w:pPr>
      <w:r w:rsidRPr="00C324BA">
        <w:rPr>
          <w:b/>
          <w:bCs/>
        </w:rPr>
        <w:t>Citeo</w:t>
      </w:r>
      <w:r w:rsidRPr="00C324BA">
        <w:t> collecte et valorisation des emballages ménagers</w:t>
      </w:r>
    </w:p>
    <w:p w14:paraId="0EF1F1CE" w14:textId="77777777" w:rsidR="00A43BE7" w:rsidRPr="00C324BA" w:rsidRDefault="00A43BE7" w:rsidP="00A43BE7">
      <w:pPr>
        <w:numPr>
          <w:ilvl w:val="0"/>
          <w:numId w:val="10"/>
        </w:numPr>
      </w:pPr>
      <w:r w:rsidRPr="00C324BA">
        <w:rPr>
          <w:b/>
          <w:bCs/>
        </w:rPr>
        <w:t>PV Cycle</w:t>
      </w:r>
      <w:r w:rsidRPr="00C324BA">
        <w:t> collecte et valorisation des panneaux photovoltaïques</w:t>
      </w:r>
    </w:p>
    <w:p w14:paraId="72D6320A" w14:textId="77777777" w:rsidR="00A43BE7" w:rsidRPr="00E240BF" w:rsidRDefault="00A43BE7" w:rsidP="00A43BE7">
      <w:pPr>
        <w:pStyle w:val="Paragraphedeliste"/>
        <w:numPr>
          <w:ilvl w:val="0"/>
          <w:numId w:val="14"/>
        </w:numPr>
        <w:spacing w:after="120"/>
        <w:rPr>
          <w:b/>
          <w:bCs/>
          <w:sz w:val="24"/>
          <w:szCs w:val="28"/>
        </w:rPr>
      </w:pPr>
      <w:r w:rsidRPr="00E240BF">
        <w:rPr>
          <w:b/>
          <w:bCs/>
          <w:sz w:val="24"/>
          <w:szCs w:val="28"/>
        </w:rPr>
        <w:lastRenderedPageBreak/>
        <w:t>Nos engagements</w:t>
      </w:r>
    </w:p>
    <w:p w14:paraId="1E4AB168" w14:textId="77777777" w:rsidR="00A43BE7" w:rsidRPr="0065660C" w:rsidRDefault="00A43BE7" w:rsidP="00A43BE7">
      <w:pPr>
        <w:spacing w:before="120"/>
        <w:rPr>
          <w:b/>
          <w:bCs/>
          <w:i/>
          <w:iCs/>
        </w:rPr>
      </w:pPr>
      <w:r w:rsidRPr="0065660C">
        <w:rPr>
          <w:b/>
          <w:bCs/>
          <w:i/>
          <w:iCs/>
        </w:rPr>
        <w:t>Nos certifications : un travail de qualité et certifié</w:t>
      </w:r>
    </w:p>
    <w:p w14:paraId="32849B5A" w14:textId="77777777" w:rsidR="00A43BE7" w:rsidRPr="0065660C" w:rsidRDefault="00A43BE7" w:rsidP="00A43BE7">
      <w:pPr>
        <w:spacing w:before="60"/>
        <w:jc w:val="both"/>
      </w:pPr>
      <w:r w:rsidRPr="0065660C">
        <w:rPr>
          <w:b/>
          <w:bCs/>
        </w:rPr>
        <w:t>Berod Recyclage</w:t>
      </w:r>
      <w:r w:rsidRPr="0065660C">
        <w:t> s'est toujours engagé dans une démarche d'amélioration continue au travers de multiples certifications. Acteur majeur de la fédération du recyclage (FEDERREC), </w:t>
      </w:r>
      <w:r w:rsidRPr="0065660C">
        <w:rPr>
          <w:b/>
          <w:bCs/>
        </w:rPr>
        <w:t>Berod </w:t>
      </w:r>
      <w:r w:rsidRPr="0065660C">
        <w:t>s'implique dans la politique de gestion des déchets pour l'environnement.</w:t>
      </w:r>
    </w:p>
    <w:p w14:paraId="2448AADB" w14:textId="77777777" w:rsidR="00A43BE7" w:rsidRPr="0065660C" w:rsidRDefault="00A43BE7" w:rsidP="00A43BE7">
      <w:pPr>
        <w:spacing w:before="60"/>
        <w:jc w:val="both"/>
      </w:pPr>
      <w:r w:rsidRPr="0065660C">
        <w:t>Structurée autour de la norme environnementale ISO 14001, notre démarche vise à valoriser au maximum les déchets afin d'atteindre les objectifs ambitieux du grenelle de l'environnement (réduction des déchets et augmentation des taux de recyclage).</w:t>
      </w:r>
    </w:p>
    <w:p w14:paraId="12CF6143" w14:textId="77777777" w:rsidR="00A43BE7" w:rsidRPr="0065660C" w:rsidRDefault="00A43BE7" w:rsidP="00A43BE7">
      <w:pPr>
        <w:spacing w:before="120"/>
        <w:rPr>
          <w:b/>
          <w:bCs/>
          <w:i/>
          <w:iCs/>
        </w:rPr>
      </w:pPr>
      <w:r w:rsidRPr="0065660C">
        <w:rPr>
          <w:b/>
          <w:bCs/>
          <w:i/>
          <w:iCs/>
        </w:rPr>
        <w:t>Un engagement fort pour l'égalité professionnelle</w:t>
      </w:r>
    </w:p>
    <w:p w14:paraId="38D308AE" w14:textId="77777777" w:rsidR="00A43BE7" w:rsidRPr="0065660C" w:rsidRDefault="00A43BE7" w:rsidP="00A43BE7">
      <w:pPr>
        <w:jc w:val="both"/>
      </w:pPr>
      <w:r w:rsidRPr="0065660C">
        <w:t>Afin de réduire les inégalités professionnelles entre les femmes et les hommes, le Gouvernement a mis en place « l’Index égalité professionnelle femme homme ». Cet index, composé de 5 indicateurs clés, permet aux entreprises de faire le point sur leur positionnement en termes d’égalité.</w:t>
      </w:r>
    </w:p>
    <w:p w14:paraId="1300BDAD" w14:textId="77777777" w:rsidR="00A43BE7" w:rsidRPr="0065660C" w:rsidRDefault="00A43BE7" w:rsidP="00A43BE7">
      <w:pPr>
        <w:spacing w:before="60"/>
        <w:jc w:val="both"/>
      </w:pPr>
      <w:r w:rsidRPr="0065660C">
        <w:t>L’entreprise Excoffier est fière de pouvoir présenter une note globale de </w:t>
      </w:r>
      <w:r w:rsidRPr="0065660C">
        <w:rPr>
          <w:b/>
          <w:bCs/>
        </w:rPr>
        <w:t>89/100</w:t>
      </w:r>
      <w:r w:rsidRPr="0065660C">
        <w:t> pour l’année 2023 ! Cette note est le reflet de nos valeurs et de nos engagements forts, notamment sur des sujets phares tels que la diversité et l’égalité.</w:t>
      </w:r>
    </w:p>
    <w:p w14:paraId="1E794DBF" w14:textId="77777777" w:rsidR="00A43BE7" w:rsidRDefault="00A43BE7" w:rsidP="00A43BE7"/>
    <w:p w14:paraId="2EA85F32" w14:textId="77777777" w:rsidR="00A43BE7" w:rsidRPr="00E240BF" w:rsidRDefault="00A43BE7" w:rsidP="00A43BE7">
      <w:pPr>
        <w:pStyle w:val="Paragraphedeliste"/>
        <w:numPr>
          <w:ilvl w:val="0"/>
          <w:numId w:val="14"/>
        </w:numPr>
        <w:rPr>
          <w:b/>
          <w:bCs/>
          <w:sz w:val="24"/>
          <w:szCs w:val="28"/>
        </w:rPr>
      </w:pPr>
      <w:r w:rsidRPr="00E240BF">
        <w:rPr>
          <w:b/>
          <w:bCs/>
          <w:sz w:val="24"/>
          <w:szCs w:val="28"/>
        </w:rPr>
        <w:t>Nos solutions pour les professionnels</w:t>
      </w:r>
    </w:p>
    <w:p w14:paraId="0C58CD98" w14:textId="77777777" w:rsidR="00A43BE7" w:rsidRPr="0065660C" w:rsidRDefault="00A43BE7" w:rsidP="00A43BE7">
      <w:pPr>
        <w:spacing w:before="120"/>
        <w:rPr>
          <w:b/>
          <w:bCs/>
          <w:i/>
          <w:iCs/>
        </w:rPr>
      </w:pPr>
      <w:r w:rsidRPr="0065660C">
        <w:rPr>
          <w:b/>
          <w:bCs/>
          <w:i/>
          <w:iCs/>
        </w:rPr>
        <w:t>« NovaTri » pour vos DIB</w:t>
      </w:r>
    </w:p>
    <w:p w14:paraId="45D3FE2F" w14:textId="77777777" w:rsidR="00A43BE7" w:rsidRPr="0065660C" w:rsidRDefault="00A43BE7" w:rsidP="00A43BE7">
      <w:pPr>
        <w:jc w:val="both"/>
      </w:pPr>
      <w:r w:rsidRPr="0065660C">
        <w:t>Grâce à notre chaîne de tri très haute technologie surnommée « NovaTri », nous valorisons plus de 90 % de vos déchets industriels banals (DIB) et limitons ainsi les refus de tri vers les incinérateurs et centres d’enfouissement.</w:t>
      </w:r>
    </w:p>
    <w:p w14:paraId="70CB333A" w14:textId="77777777" w:rsidR="00A43BE7" w:rsidRPr="0065660C" w:rsidRDefault="00A43BE7" w:rsidP="00A43BE7">
      <w:pPr>
        <w:jc w:val="both"/>
      </w:pPr>
      <w:r w:rsidRPr="0065660C">
        <w:t>Les points forts de « NovaTri » :</w:t>
      </w:r>
    </w:p>
    <w:p w14:paraId="3E793653" w14:textId="77777777" w:rsidR="00A43BE7" w:rsidRPr="0065660C" w:rsidRDefault="00A43BE7" w:rsidP="00A43BE7">
      <w:pPr>
        <w:numPr>
          <w:ilvl w:val="0"/>
          <w:numId w:val="11"/>
        </w:numPr>
        <w:jc w:val="both"/>
      </w:pPr>
      <w:r w:rsidRPr="0065660C">
        <w:t>Le plus gros broyeur DIB de France avec une capacité de traitement de 35 tonnes par heure ;</w:t>
      </w:r>
    </w:p>
    <w:p w14:paraId="4B25EA8A" w14:textId="77777777" w:rsidR="00A43BE7" w:rsidRPr="0065660C" w:rsidRDefault="00A43BE7" w:rsidP="00A43BE7">
      <w:pPr>
        <w:numPr>
          <w:ilvl w:val="0"/>
          <w:numId w:val="11"/>
        </w:numPr>
        <w:jc w:val="both"/>
      </w:pPr>
      <w:r w:rsidRPr="0065660C">
        <w:t>Le tri optique qui permet de séparer le papier, le carton et les plastiques.</w:t>
      </w:r>
    </w:p>
    <w:p w14:paraId="08A3888D" w14:textId="77777777" w:rsidR="00A43BE7" w:rsidRPr="0065660C" w:rsidRDefault="00A43BE7" w:rsidP="00A43BE7">
      <w:pPr>
        <w:spacing w:before="60"/>
        <w:jc w:val="both"/>
      </w:pPr>
      <w:r w:rsidRPr="0065660C">
        <w:t>Avec un seul flux entrant, « NovaTri » est capable de valoriser 15 matières : combustible solide de récupération (CSR), plâtre, bois A, bois B, gravats, ferraille, métaux (aluminium, Inox), cuivre, câble aluminium, carton, piles, incinérable, refus de tri.</w:t>
      </w:r>
    </w:p>
    <w:p w14:paraId="04BA4997" w14:textId="77777777" w:rsidR="00A43BE7" w:rsidRPr="0065660C" w:rsidRDefault="00A43BE7" w:rsidP="00A43BE7">
      <w:pPr>
        <w:spacing w:before="120"/>
        <w:rPr>
          <w:b/>
          <w:bCs/>
          <w:i/>
          <w:iCs/>
        </w:rPr>
      </w:pPr>
      <w:r w:rsidRPr="0065660C">
        <w:rPr>
          <w:b/>
          <w:bCs/>
          <w:i/>
          <w:iCs/>
        </w:rPr>
        <w:t>Excoffier rachète et valorise vos métaux</w:t>
      </w:r>
    </w:p>
    <w:p w14:paraId="79A5DA74" w14:textId="77777777" w:rsidR="00A43BE7" w:rsidRPr="0065660C" w:rsidRDefault="00A43BE7" w:rsidP="00A43BE7">
      <w:pPr>
        <w:jc w:val="both"/>
      </w:pPr>
      <w:r w:rsidRPr="0065660C">
        <w:t>Activité historique d’Excoffier Recyclage, le rachat de ferraille et métaux est une spécialité de notre entreprise. Grâce à notre savoir-faire, à la spectrométrie et avec le développement de filières locales ou européennes nous valorisons 100 % de vos ferrailles et métaux.</w:t>
      </w:r>
    </w:p>
    <w:p w14:paraId="6ABA819C" w14:textId="77777777" w:rsidR="00A43BE7" w:rsidRPr="0065660C" w:rsidRDefault="00A43BE7" w:rsidP="00A43BE7">
      <w:pPr>
        <w:spacing w:before="120"/>
        <w:rPr>
          <w:b/>
          <w:bCs/>
          <w:i/>
          <w:iCs/>
        </w:rPr>
      </w:pPr>
      <w:r w:rsidRPr="0065660C">
        <w:rPr>
          <w:b/>
          <w:bCs/>
          <w:i/>
          <w:iCs/>
        </w:rPr>
        <w:t>Des chantiers éco-responsables pour les pros du BTP</w:t>
      </w:r>
    </w:p>
    <w:p w14:paraId="100B260D" w14:textId="2BDEF51D" w:rsidR="00A43BE7" w:rsidRPr="0065660C" w:rsidRDefault="00A43BE7" w:rsidP="00A43BE7">
      <w:pPr>
        <w:jc w:val="both"/>
      </w:pPr>
      <w:r w:rsidRPr="0065660C">
        <w:t xml:space="preserve">Fort de son savoir-faire dans le BTP, Excoffier vous propose toute son analyse et son expérience pour la mise en place de chantiers éco-responsables. Un chantier </w:t>
      </w:r>
      <w:r w:rsidRPr="0065660C">
        <w:t>éco-responsable</w:t>
      </w:r>
      <w:r w:rsidRPr="0065660C">
        <w:t xml:space="preserve"> c’est :</w:t>
      </w:r>
    </w:p>
    <w:p w14:paraId="16BF752D" w14:textId="77777777" w:rsidR="00A43BE7" w:rsidRPr="0065660C" w:rsidRDefault="00A43BE7" w:rsidP="00A43BE7">
      <w:pPr>
        <w:numPr>
          <w:ilvl w:val="0"/>
          <w:numId w:val="12"/>
        </w:numPr>
        <w:jc w:val="both"/>
      </w:pPr>
      <w:r w:rsidRPr="0065660C">
        <w:t>La mise en place d’une mini-déchetterie avec une signalétique par contenant sur le chantier ;</w:t>
      </w:r>
    </w:p>
    <w:p w14:paraId="49FEF885" w14:textId="77777777" w:rsidR="00A43BE7" w:rsidRPr="0065660C" w:rsidRDefault="00A43BE7" w:rsidP="00A43BE7">
      <w:pPr>
        <w:numPr>
          <w:ilvl w:val="0"/>
          <w:numId w:val="12"/>
        </w:numPr>
        <w:jc w:val="both"/>
      </w:pPr>
      <w:r w:rsidRPr="0065660C">
        <w:t>Une communication extérieure - Un accompagnement personnalisé ;</w:t>
      </w:r>
    </w:p>
    <w:p w14:paraId="5590D07F" w14:textId="77777777" w:rsidR="00A43BE7" w:rsidRPr="0065660C" w:rsidRDefault="00A43BE7" w:rsidP="00A43BE7">
      <w:pPr>
        <w:numPr>
          <w:ilvl w:val="0"/>
          <w:numId w:val="12"/>
        </w:numPr>
        <w:jc w:val="both"/>
      </w:pPr>
      <w:r w:rsidRPr="0065660C">
        <w:t>Des comptes-rendus de visite systématiques ;</w:t>
      </w:r>
    </w:p>
    <w:p w14:paraId="2F9B6B3C" w14:textId="77777777" w:rsidR="00A43BE7" w:rsidRPr="0065660C" w:rsidRDefault="00A43BE7" w:rsidP="00A43BE7">
      <w:pPr>
        <w:numPr>
          <w:ilvl w:val="0"/>
          <w:numId w:val="12"/>
        </w:numPr>
        <w:jc w:val="both"/>
      </w:pPr>
      <w:r w:rsidRPr="0065660C">
        <w:t>Un guide de tri par chantier ;</w:t>
      </w:r>
    </w:p>
    <w:p w14:paraId="786DA121" w14:textId="77777777" w:rsidR="00A43BE7" w:rsidRPr="0065660C" w:rsidRDefault="00A43BE7" w:rsidP="00A43BE7">
      <w:pPr>
        <w:numPr>
          <w:ilvl w:val="0"/>
          <w:numId w:val="12"/>
        </w:numPr>
        <w:jc w:val="both"/>
      </w:pPr>
      <w:r w:rsidRPr="0065660C">
        <w:t>Un modèle de demande d’enlèvement personnalisé.</w:t>
      </w:r>
    </w:p>
    <w:p w14:paraId="20CB6201" w14:textId="77777777" w:rsidR="00A43BE7" w:rsidRPr="0065660C" w:rsidRDefault="00A43BE7" w:rsidP="00A43BE7">
      <w:pPr>
        <w:spacing w:before="120"/>
        <w:jc w:val="both"/>
        <w:rPr>
          <w:b/>
          <w:bCs/>
          <w:i/>
          <w:iCs/>
        </w:rPr>
      </w:pPr>
      <w:r w:rsidRPr="0065660C">
        <w:rPr>
          <w:b/>
          <w:bCs/>
          <w:i/>
          <w:iCs/>
        </w:rPr>
        <w:t>Excoffier propose une caractérisation précise de vos déchets</w:t>
      </w:r>
    </w:p>
    <w:p w14:paraId="357B934F" w14:textId="77777777" w:rsidR="00A43BE7" w:rsidRPr="0065660C" w:rsidRDefault="00A43BE7" w:rsidP="00A43BE7">
      <w:pPr>
        <w:spacing w:after="120"/>
        <w:jc w:val="both"/>
      </w:pPr>
      <w:r w:rsidRPr="0065660C">
        <w:t>Excoffier vous propose un service de caractérisation de vos déchets non dangereux et dangereux (avec un chimiste), ainsi que de vos métaux (spectrométrie).</w:t>
      </w:r>
    </w:p>
    <w:p w14:paraId="60CF1A75" w14:textId="77777777" w:rsidR="00A43BE7" w:rsidRPr="0065660C" w:rsidRDefault="00A43BE7" w:rsidP="00A43BE7">
      <w:pPr>
        <w:jc w:val="both"/>
      </w:pPr>
      <w:r w:rsidRPr="0065660C">
        <w:t>La CARACTERISATION vous apporte :</w:t>
      </w:r>
    </w:p>
    <w:p w14:paraId="0436F5C4" w14:textId="77777777" w:rsidR="00A43BE7" w:rsidRPr="0065660C" w:rsidRDefault="00A43BE7" w:rsidP="00A43BE7">
      <w:pPr>
        <w:numPr>
          <w:ilvl w:val="0"/>
          <w:numId w:val="13"/>
        </w:numPr>
        <w:jc w:val="both"/>
      </w:pPr>
      <w:r w:rsidRPr="0065660C">
        <w:t>Une solution économique ;</w:t>
      </w:r>
    </w:p>
    <w:p w14:paraId="4B7F0BF6" w14:textId="77777777" w:rsidR="00A43BE7" w:rsidRPr="0065660C" w:rsidRDefault="00A43BE7" w:rsidP="00A43BE7">
      <w:pPr>
        <w:numPr>
          <w:ilvl w:val="0"/>
          <w:numId w:val="13"/>
        </w:numPr>
        <w:jc w:val="both"/>
      </w:pPr>
      <w:r w:rsidRPr="0065660C">
        <w:t>Une meilleure valorisation de vos déchets ;</w:t>
      </w:r>
    </w:p>
    <w:p w14:paraId="63FAB934" w14:textId="77777777" w:rsidR="00A43BE7" w:rsidRPr="0065660C" w:rsidRDefault="00A43BE7" w:rsidP="00A43BE7">
      <w:pPr>
        <w:numPr>
          <w:ilvl w:val="0"/>
          <w:numId w:val="13"/>
        </w:numPr>
        <w:jc w:val="both"/>
      </w:pPr>
      <w:r w:rsidRPr="0065660C">
        <w:t>Un respect de l’environnement optimisé ;</w:t>
      </w:r>
    </w:p>
    <w:p w14:paraId="249FDBC1" w14:textId="77777777" w:rsidR="00A43BE7" w:rsidRPr="0065660C" w:rsidRDefault="00A43BE7" w:rsidP="00A43BE7">
      <w:pPr>
        <w:numPr>
          <w:ilvl w:val="0"/>
          <w:numId w:val="13"/>
        </w:numPr>
        <w:jc w:val="both"/>
      </w:pPr>
      <w:r w:rsidRPr="0065660C">
        <w:t>L’image d’une entreprise respectueuse de l’environnement ;</w:t>
      </w:r>
    </w:p>
    <w:p w14:paraId="23BE491E" w14:textId="77777777" w:rsidR="00A43BE7" w:rsidRPr="0065660C" w:rsidRDefault="00A43BE7" w:rsidP="00A43BE7">
      <w:pPr>
        <w:numPr>
          <w:ilvl w:val="0"/>
          <w:numId w:val="13"/>
        </w:numPr>
        <w:jc w:val="both"/>
      </w:pPr>
      <w:r w:rsidRPr="0065660C">
        <w:t>Une réelle organisation dans la gestion de vos déchets ;</w:t>
      </w:r>
    </w:p>
    <w:p w14:paraId="5607BABF" w14:textId="77777777" w:rsidR="00A43BE7" w:rsidRPr="0065660C" w:rsidRDefault="00A43BE7" w:rsidP="00A43BE7">
      <w:pPr>
        <w:numPr>
          <w:ilvl w:val="0"/>
          <w:numId w:val="13"/>
        </w:numPr>
        <w:jc w:val="both"/>
      </w:pPr>
      <w:r w:rsidRPr="0065660C">
        <w:t>Une vision d’ensemble de votre production de déchet ;</w:t>
      </w:r>
    </w:p>
    <w:p w14:paraId="019409BB" w14:textId="77777777" w:rsidR="00A43BE7" w:rsidRPr="0065660C" w:rsidRDefault="00A43BE7" w:rsidP="00A43BE7">
      <w:pPr>
        <w:numPr>
          <w:ilvl w:val="0"/>
          <w:numId w:val="13"/>
        </w:numPr>
        <w:jc w:val="both"/>
      </w:pPr>
      <w:r w:rsidRPr="0065660C">
        <w:t>Des contenants adaptés à votre structure et à vos déchets.</w:t>
      </w:r>
    </w:p>
    <w:p w14:paraId="27460455" w14:textId="77777777" w:rsidR="00A43BE7" w:rsidRDefault="00A43BE7" w:rsidP="00A43BE7"/>
    <w:tbl>
      <w:tblPr>
        <w:tblStyle w:val="Grilledutableau"/>
        <w:tblW w:w="8644" w:type="dxa"/>
        <w:jc w:val="center"/>
        <w:tblLook w:val="04A0" w:firstRow="1" w:lastRow="0" w:firstColumn="1" w:lastColumn="0" w:noHBand="0" w:noVBand="1"/>
      </w:tblPr>
      <w:tblGrid>
        <w:gridCol w:w="1555"/>
        <w:gridCol w:w="1135"/>
        <w:gridCol w:w="992"/>
        <w:gridCol w:w="993"/>
        <w:gridCol w:w="992"/>
        <w:gridCol w:w="992"/>
        <w:gridCol w:w="992"/>
        <w:gridCol w:w="993"/>
      </w:tblGrid>
      <w:tr w:rsidR="00A43BE7" w:rsidRPr="0065660C" w14:paraId="3DAE8B2E" w14:textId="77777777" w:rsidTr="004E3BA1">
        <w:trPr>
          <w:jc w:val="center"/>
        </w:trPr>
        <w:tc>
          <w:tcPr>
            <w:tcW w:w="8644" w:type="dxa"/>
            <w:gridSpan w:val="8"/>
            <w:shd w:val="clear" w:color="auto" w:fill="C5E0B3" w:themeFill="accent6" w:themeFillTint="66"/>
          </w:tcPr>
          <w:p w14:paraId="4420E99A" w14:textId="77777777" w:rsidR="00A43BE7" w:rsidRPr="0065660C" w:rsidRDefault="00A43BE7" w:rsidP="004E3BA1">
            <w:pPr>
              <w:spacing w:before="40" w:after="40"/>
              <w:jc w:val="center"/>
              <w:rPr>
                <w:b/>
                <w:bCs/>
              </w:rPr>
            </w:pPr>
            <w:r w:rsidRPr="0065660C">
              <w:rPr>
                <w:b/>
                <w:bCs/>
              </w:rPr>
              <w:t>Données sociales et financières</w:t>
            </w:r>
          </w:p>
        </w:tc>
      </w:tr>
      <w:tr w:rsidR="00A43BE7" w:rsidRPr="0065660C" w14:paraId="14736407" w14:textId="77777777" w:rsidTr="004E3BA1">
        <w:trPr>
          <w:jc w:val="center"/>
        </w:trPr>
        <w:tc>
          <w:tcPr>
            <w:tcW w:w="1555" w:type="dxa"/>
            <w:shd w:val="clear" w:color="auto" w:fill="E2EFD9" w:themeFill="accent6" w:themeFillTint="33"/>
          </w:tcPr>
          <w:p w14:paraId="6C1E37C7" w14:textId="77777777" w:rsidR="00A43BE7" w:rsidRPr="0065660C" w:rsidRDefault="00A43BE7" w:rsidP="004E3BA1">
            <w:pPr>
              <w:spacing w:before="40" w:after="40"/>
              <w:ind w:left="27" w:hanging="27"/>
              <w:jc w:val="center"/>
              <w:rPr>
                <w:b/>
                <w:bCs/>
                <w:sz w:val="18"/>
                <w:szCs w:val="20"/>
              </w:rPr>
            </w:pPr>
          </w:p>
        </w:tc>
        <w:tc>
          <w:tcPr>
            <w:tcW w:w="1135" w:type="dxa"/>
            <w:shd w:val="clear" w:color="auto" w:fill="E2EFD9" w:themeFill="accent6" w:themeFillTint="33"/>
          </w:tcPr>
          <w:p w14:paraId="5E4EC5DA" w14:textId="77777777" w:rsidR="00A43BE7" w:rsidRPr="0065660C" w:rsidRDefault="00A43BE7" w:rsidP="004E3BA1">
            <w:pPr>
              <w:spacing w:before="40" w:after="40"/>
              <w:jc w:val="center"/>
              <w:rPr>
                <w:b/>
                <w:bCs/>
                <w:sz w:val="18"/>
                <w:szCs w:val="20"/>
              </w:rPr>
            </w:pPr>
            <w:r w:rsidRPr="0065660C">
              <w:rPr>
                <w:b/>
                <w:bCs/>
                <w:sz w:val="18"/>
                <w:szCs w:val="20"/>
              </w:rPr>
              <w:t>201</w:t>
            </w:r>
            <w:r>
              <w:rPr>
                <w:b/>
                <w:bCs/>
                <w:sz w:val="18"/>
                <w:szCs w:val="20"/>
              </w:rPr>
              <w:t>8</w:t>
            </w:r>
          </w:p>
        </w:tc>
        <w:tc>
          <w:tcPr>
            <w:tcW w:w="992" w:type="dxa"/>
            <w:shd w:val="clear" w:color="auto" w:fill="E2EFD9" w:themeFill="accent6" w:themeFillTint="33"/>
          </w:tcPr>
          <w:p w14:paraId="0F092014" w14:textId="77777777" w:rsidR="00A43BE7" w:rsidRPr="0065660C" w:rsidRDefault="00A43BE7" w:rsidP="004E3BA1">
            <w:pPr>
              <w:spacing w:before="40" w:after="40"/>
              <w:jc w:val="center"/>
              <w:rPr>
                <w:b/>
                <w:bCs/>
                <w:sz w:val="18"/>
                <w:szCs w:val="20"/>
              </w:rPr>
            </w:pPr>
            <w:r w:rsidRPr="0065660C">
              <w:rPr>
                <w:b/>
                <w:bCs/>
                <w:sz w:val="18"/>
                <w:szCs w:val="20"/>
              </w:rPr>
              <w:t>201</w:t>
            </w:r>
            <w:r>
              <w:rPr>
                <w:b/>
                <w:bCs/>
                <w:sz w:val="18"/>
                <w:szCs w:val="20"/>
              </w:rPr>
              <w:t>9</w:t>
            </w:r>
          </w:p>
        </w:tc>
        <w:tc>
          <w:tcPr>
            <w:tcW w:w="993" w:type="dxa"/>
            <w:shd w:val="clear" w:color="auto" w:fill="E2EFD9" w:themeFill="accent6" w:themeFillTint="33"/>
          </w:tcPr>
          <w:p w14:paraId="6C20579C" w14:textId="77777777" w:rsidR="00A43BE7" w:rsidRPr="0065660C" w:rsidRDefault="00A43BE7" w:rsidP="004E3BA1">
            <w:pPr>
              <w:spacing w:before="40" w:after="40"/>
              <w:jc w:val="center"/>
              <w:rPr>
                <w:b/>
                <w:bCs/>
                <w:sz w:val="18"/>
                <w:szCs w:val="20"/>
              </w:rPr>
            </w:pPr>
            <w:r w:rsidRPr="0065660C">
              <w:rPr>
                <w:b/>
                <w:bCs/>
                <w:sz w:val="18"/>
                <w:szCs w:val="20"/>
              </w:rPr>
              <w:t>20</w:t>
            </w:r>
            <w:r>
              <w:rPr>
                <w:b/>
                <w:bCs/>
                <w:sz w:val="18"/>
                <w:szCs w:val="20"/>
              </w:rPr>
              <w:t>20</w:t>
            </w:r>
          </w:p>
        </w:tc>
        <w:tc>
          <w:tcPr>
            <w:tcW w:w="992" w:type="dxa"/>
            <w:shd w:val="clear" w:color="auto" w:fill="E2EFD9" w:themeFill="accent6" w:themeFillTint="33"/>
          </w:tcPr>
          <w:p w14:paraId="2FCDEC4A" w14:textId="77777777" w:rsidR="00A43BE7" w:rsidRPr="0065660C" w:rsidRDefault="00A43BE7" w:rsidP="004E3BA1">
            <w:pPr>
              <w:spacing w:before="40" w:after="40"/>
              <w:jc w:val="center"/>
              <w:rPr>
                <w:b/>
                <w:bCs/>
                <w:sz w:val="18"/>
                <w:szCs w:val="20"/>
              </w:rPr>
            </w:pPr>
            <w:r w:rsidRPr="0065660C">
              <w:rPr>
                <w:b/>
                <w:bCs/>
                <w:sz w:val="18"/>
                <w:szCs w:val="20"/>
              </w:rPr>
              <w:t>20</w:t>
            </w:r>
            <w:r>
              <w:rPr>
                <w:b/>
                <w:bCs/>
                <w:sz w:val="18"/>
                <w:szCs w:val="20"/>
              </w:rPr>
              <w:t>21</w:t>
            </w:r>
          </w:p>
        </w:tc>
        <w:tc>
          <w:tcPr>
            <w:tcW w:w="992" w:type="dxa"/>
            <w:shd w:val="clear" w:color="auto" w:fill="E2EFD9" w:themeFill="accent6" w:themeFillTint="33"/>
          </w:tcPr>
          <w:p w14:paraId="09EEAD06" w14:textId="77777777" w:rsidR="00A43BE7" w:rsidRPr="0065660C" w:rsidRDefault="00A43BE7" w:rsidP="004E3BA1">
            <w:pPr>
              <w:spacing w:before="40" w:after="40"/>
              <w:jc w:val="center"/>
              <w:rPr>
                <w:b/>
                <w:bCs/>
                <w:sz w:val="18"/>
                <w:szCs w:val="20"/>
              </w:rPr>
            </w:pPr>
            <w:r w:rsidRPr="0065660C">
              <w:rPr>
                <w:b/>
                <w:bCs/>
                <w:sz w:val="18"/>
                <w:szCs w:val="20"/>
              </w:rPr>
              <w:t>202</w:t>
            </w:r>
            <w:r>
              <w:rPr>
                <w:b/>
                <w:bCs/>
                <w:sz w:val="18"/>
                <w:szCs w:val="20"/>
              </w:rPr>
              <w:t>2</w:t>
            </w:r>
          </w:p>
        </w:tc>
        <w:tc>
          <w:tcPr>
            <w:tcW w:w="992" w:type="dxa"/>
            <w:shd w:val="clear" w:color="auto" w:fill="E2EFD9" w:themeFill="accent6" w:themeFillTint="33"/>
          </w:tcPr>
          <w:p w14:paraId="2470865D" w14:textId="77777777" w:rsidR="00A43BE7" w:rsidRPr="0065660C" w:rsidRDefault="00A43BE7" w:rsidP="004E3BA1">
            <w:pPr>
              <w:spacing w:before="40" w:after="40"/>
              <w:jc w:val="center"/>
              <w:rPr>
                <w:b/>
                <w:bCs/>
                <w:sz w:val="18"/>
                <w:szCs w:val="20"/>
              </w:rPr>
            </w:pPr>
            <w:r w:rsidRPr="0065660C">
              <w:rPr>
                <w:b/>
                <w:bCs/>
                <w:sz w:val="18"/>
                <w:szCs w:val="20"/>
              </w:rPr>
              <w:t>202</w:t>
            </w:r>
            <w:r>
              <w:rPr>
                <w:b/>
                <w:bCs/>
                <w:sz w:val="18"/>
                <w:szCs w:val="20"/>
              </w:rPr>
              <w:t>3</w:t>
            </w:r>
          </w:p>
        </w:tc>
        <w:tc>
          <w:tcPr>
            <w:tcW w:w="993" w:type="dxa"/>
            <w:shd w:val="clear" w:color="auto" w:fill="E2EFD9" w:themeFill="accent6" w:themeFillTint="33"/>
          </w:tcPr>
          <w:p w14:paraId="0BDF66B2" w14:textId="77777777" w:rsidR="00A43BE7" w:rsidRPr="0065660C" w:rsidRDefault="00A43BE7" w:rsidP="004E3BA1">
            <w:pPr>
              <w:spacing w:before="40" w:after="40"/>
              <w:jc w:val="center"/>
              <w:rPr>
                <w:b/>
                <w:bCs/>
                <w:sz w:val="18"/>
                <w:szCs w:val="20"/>
              </w:rPr>
            </w:pPr>
            <w:r w:rsidRPr="0065660C">
              <w:rPr>
                <w:b/>
                <w:bCs/>
                <w:sz w:val="18"/>
                <w:szCs w:val="20"/>
              </w:rPr>
              <w:t>202</w:t>
            </w:r>
            <w:r>
              <w:rPr>
                <w:b/>
                <w:bCs/>
                <w:sz w:val="18"/>
                <w:szCs w:val="20"/>
              </w:rPr>
              <w:t>4</w:t>
            </w:r>
          </w:p>
        </w:tc>
      </w:tr>
      <w:tr w:rsidR="00A43BE7" w:rsidRPr="0065660C" w14:paraId="28D5B805" w14:textId="77777777" w:rsidTr="004E3BA1">
        <w:trPr>
          <w:jc w:val="center"/>
        </w:trPr>
        <w:tc>
          <w:tcPr>
            <w:tcW w:w="1555" w:type="dxa"/>
            <w:shd w:val="clear" w:color="auto" w:fill="E2EFD9" w:themeFill="accent6" w:themeFillTint="33"/>
          </w:tcPr>
          <w:p w14:paraId="29D11E36" w14:textId="77777777" w:rsidR="00A43BE7" w:rsidRPr="0065660C" w:rsidRDefault="00A43BE7" w:rsidP="004E3BA1">
            <w:pPr>
              <w:spacing w:before="40" w:after="40"/>
              <w:jc w:val="center"/>
              <w:rPr>
                <w:b/>
                <w:bCs/>
                <w:sz w:val="18"/>
                <w:szCs w:val="20"/>
              </w:rPr>
            </w:pPr>
            <w:r>
              <w:rPr>
                <w:b/>
                <w:bCs/>
                <w:sz w:val="18"/>
                <w:szCs w:val="20"/>
              </w:rPr>
              <w:t>E</w:t>
            </w:r>
            <w:r w:rsidRPr="0065660C">
              <w:rPr>
                <w:b/>
                <w:bCs/>
                <w:sz w:val="18"/>
                <w:szCs w:val="20"/>
              </w:rPr>
              <w:t>ffectif</w:t>
            </w:r>
          </w:p>
        </w:tc>
        <w:tc>
          <w:tcPr>
            <w:tcW w:w="1135" w:type="dxa"/>
          </w:tcPr>
          <w:p w14:paraId="5680C3E6" w14:textId="77777777" w:rsidR="00A43BE7" w:rsidRPr="0065660C" w:rsidRDefault="00A43BE7" w:rsidP="004E3BA1">
            <w:pPr>
              <w:spacing w:before="40" w:after="40"/>
              <w:jc w:val="right"/>
              <w:rPr>
                <w:sz w:val="18"/>
                <w:szCs w:val="20"/>
              </w:rPr>
            </w:pPr>
            <w:r w:rsidRPr="0065660C">
              <w:rPr>
                <w:sz w:val="18"/>
                <w:szCs w:val="20"/>
              </w:rPr>
              <w:t>44</w:t>
            </w:r>
          </w:p>
        </w:tc>
        <w:tc>
          <w:tcPr>
            <w:tcW w:w="992" w:type="dxa"/>
          </w:tcPr>
          <w:p w14:paraId="24E836EF" w14:textId="77777777" w:rsidR="00A43BE7" w:rsidRPr="0065660C" w:rsidRDefault="00A43BE7" w:rsidP="004E3BA1">
            <w:pPr>
              <w:spacing w:before="40" w:after="40"/>
              <w:jc w:val="right"/>
              <w:rPr>
                <w:sz w:val="18"/>
                <w:szCs w:val="20"/>
              </w:rPr>
            </w:pPr>
            <w:r w:rsidRPr="0065660C">
              <w:rPr>
                <w:sz w:val="18"/>
                <w:szCs w:val="20"/>
              </w:rPr>
              <w:t>46</w:t>
            </w:r>
          </w:p>
        </w:tc>
        <w:tc>
          <w:tcPr>
            <w:tcW w:w="993" w:type="dxa"/>
          </w:tcPr>
          <w:p w14:paraId="7B902345" w14:textId="77777777" w:rsidR="00A43BE7" w:rsidRPr="0065660C" w:rsidRDefault="00A43BE7" w:rsidP="004E3BA1">
            <w:pPr>
              <w:spacing w:before="40" w:after="40"/>
              <w:jc w:val="right"/>
              <w:rPr>
                <w:sz w:val="18"/>
                <w:szCs w:val="20"/>
              </w:rPr>
            </w:pPr>
            <w:r w:rsidRPr="0065660C">
              <w:rPr>
                <w:sz w:val="18"/>
                <w:szCs w:val="20"/>
              </w:rPr>
              <w:t>51</w:t>
            </w:r>
          </w:p>
        </w:tc>
        <w:tc>
          <w:tcPr>
            <w:tcW w:w="992" w:type="dxa"/>
          </w:tcPr>
          <w:p w14:paraId="63A613F6" w14:textId="77777777" w:rsidR="00A43BE7" w:rsidRPr="0065660C" w:rsidRDefault="00A43BE7" w:rsidP="004E3BA1">
            <w:pPr>
              <w:spacing w:before="40" w:after="40"/>
              <w:jc w:val="right"/>
              <w:rPr>
                <w:sz w:val="18"/>
                <w:szCs w:val="20"/>
              </w:rPr>
            </w:pPr>
            <w:r w:rsidRPr="0065660C">
              <w:rPr>
                <w:sz w:val="18"/>
                <w:szCs w:val="20"/>
              </w:rPr>
              <w:t>56</w:t>
            </w:r>
          </w:p>
        </w:tc>
        <w:tc>
          <w:tcPr>
            <w:tcW w:w="992" w:type="dxa"/>
          </w:tcPr>
          <w:p w14:paraId="7558B4FB" w14:textId="77777777" w:rsidR="00A43BE7" w:rsidRPr="0065660C" w:rsidRDefault="00A43BE7" w:rsidP="004E3BA1">
            <w:pPr>
              <w:spacing w:before="40" w:after="40"/>
              <w:jc w:val="right"/>
              <w:rPr>
                <w:sz w:val="18"/>
                <w:szCs w:val="20"/>
              </w:rPr>
            </w:pPr>
            <w:r w:rsidRPr="0065660C">
              <w:rPr>
                <w:sz w:val="18"/>
                <w:szCs w:val="20"/>
              </w:rPr>
              <w:t>117</w:t>
            </w:r>
          </w:p>
        </w:tc>
        <w:tc>
          <w:tcPr>
            <w:tcW w:w="992" w:type="dxa"/>
          </w:tcPr>
          <w:p w14:paraId="6724019C" w14:textId="77777777" w:rsidR="00A43BE7" w:rsidRPr="0065660C" w:rsidRDefault="00A43BE7" w:rsidP="004E3BA1">
            <w:pPr>
              <w:spacing w:before="40" w:after="40"/>
              <w:jc w:val="right"/>
              <w:rPr>
                <w:sz w:val="18"/>
                <w:szCs w:val="20"/>
              </w:rPr>
            </w:pPr>
            <w:r w:rsidRPr="0065660C">
              <w:rPr>
                <w:sz w:val="18"/>
                <w:szCs w:val="20"/>
              </w:rPr>
              <w:t>351</w:t>
            </w:r>
          </w:p>
        </w:tc>
        <w:tc>
          <w:tcPr>
            <w:tcW w:w="993" w:type="dxa"/>
          </w:tcPr>
          <w:p w14:paraId="6B5EA465" w14:textId="77777777" w:rsidR="00A43BE7" w:rsidRPr="0065660C" w:rsidRDefault="00A43BE7" w:rsidP="004E3BA1">
            <w:pPr>
              <w:spacing w:before="40" w:after="40"/>
              <w:jc w:val="right"/>
              <w:rPr>
                <w:sz w:val="18"/>
                <w:szCs w:val="20"/>
              </w:rPr>
            </w:pPr>
            <w:r>
              <w:rPr>
                <w:sz w:val="18"/>
                <w:szCs w:val="20"/>
              </w:rPr>
              <w:t>370</w:t>
            </w:r>
          </w:p>
        </w:tc>
      </w:tr>
      <w:tr w:rsidR="00A43BE7" w:rsidRPr="0065660C" w14:paraId="52426138" w14:textId="77777777" w:rsidTr="004E3BA1">
        <w:trPr>
          <w:jc w:val="center"/>
        </w:trPr>
        <w:tc>
          <w:tcPr>
            <w:tcW w:w="1555" w:type="dxa"/>
            <w:shd w:val="clear" w:color="auto" w:fill="E2EFD9" w:themeFill="accent6" w:themeFillTint="33"/>
          </w:tcPr>
          <w:p w14:paraId="2A015F13" w14:textId="77777777" w:rsidR="00A43BE7" w:rsidRPr="0065660C" w:rsidRDefault="00A43BE7" w:rsidP="004E3BA1">
            <w:pPr>
              <w:spacing w:before="40" w:after="40"/>
              <w:jc w:val="center"/>
              <w:rPr>
                <w:b/>
                <w:bCs/>
                <w:sz w:val="18"/>
                <w:szCs w:val="20"/>
              </w:rPr>
            </w:pPr>
            <w:r w:rsidRPr="0065660C">
              <w:rPr>
                <w:b/>
                <w:bCs/>
                <w:sz w:val="18"/>
                <w:szCs w:val="20"/>
              </w:rPr>
              <w:t>CA*</w:t>
            </w:r>
          </w:p>
        </w:tc>
        <w:tc>
          <w:tcPr>
            <w:tcW w:w="1135" w:type="dxa"/>
          </w:tcPr>
          <w:p w14:paraId="11A92BC7" w14:textId="77777777" w:rsidR="00A43BE7" w:rsidRPr="0065660C" w:rsidRDefault="00A43BE7" w:rsidP="004E3BA1">
            <w:pPr>
              <w:spacing w:before="40" w:after="40"/>
              <w:jc w:val="right"/>
              <w:rPr>
                <w:sz w:val="18"/>
                <w:szCs w:val="20"/>
              </w:rPr>
            </w:pPr>
            <w:r w:rsidRPr="0065660C">
              <w:rPr>
                <w:sz w:val="18"/>
                <w:szCs w:val="20"/>
              </w:rPr>
              <w:t>52 290</w:t>
            </w:r>
          </w:p>
        </w:tc>
        <w:tc>
          <w:tcPr>
            <w:tcW w:w="992" w:type="dxa"/>
          </w:tcPr>
          <w:p w14:paraId="22013CE6" w14:textId="77777777" w:rsidR="00A43BE7" w:rsidRPr="0065660C" w:rsidRDefault="00A43BE7" w:rsidP="004E3BA1">
            <w:pPr>
              <w:spacing w:before="40" w:after="40"/>
              <w:jc w:val="right"/>
              <w:rPr>
                <w:sz w:val="18"/>
                <w:szCs w:val="20"/>
              </w:rPr>
            </w:pPr>
            <w:r w:rsidRPr="0065660C">
              <w:rPr>
                <w:sz w:val="18"/>
                <w:szCs w:val="20"/>
              </w:rPr>
              <w:t>62 873</w:t>
            </w:r>
          </w:p>
        </w:tc>
        <w:tc>
          <w:tcPr>
            <w:tcW w:w="993" w:type="dxa"/>
          </w:tcPr>
          <w:p w14:paraId="248A0199" w14:textId="77777777" w:rsidR="00A43BE7" w:rsidRPr="0065660C" w:rsidRDefault="00A43BE7" w:rsidP="004E3BA1">
            <w:pPr>
              <w:spacing w:before="40" w:after="40"/>
              <w:jc w:val="right"/>
              <w:rPr>
                <w:sz w:val="18"/>
                <w:szCs w:val="20"/>
              </w:rPr>
            </w:pPr>
            <w:r w:rsidRPr="0065660C">
              <w:rPr>
                <w:sz w:val="18"/>
                <w:szCs w:val="20"/>
              </w:rPr>
              <w:t>73 181</w:t>
            </w:r>
          </w:p>
        </w:tc>
        <w:tc>
          <w:tcPr>
            <w:tcW w:w="992" w:type="dxa"/>
          </w:tcPr>
          <w:p w14:paraId="5D6C0D57" w14:textId="77777777" w:rsidR="00A43BE7" w:rsidRPr="0065660C" w:rsidRDefault="00A43BE7" w:rsidP="004E3BA1">
            <w:pPr>
              <w:spacing w:before="40" w:after="40"/>
              <w:jc w:val="right"/>
              <w:rPr>
                <w:sz w:val="18"/>
                <w:szCs w:val="20"/>
              </w:rPr>
            </w:pPr>
            <w:r w:rsidRPr="0065660C">
              <w:rPr>
                <w:sz w:val="18"/>
                <w:szCs w:val="20"/>
              </w:rPr>
              <w:t>77 734</w:t>
            </w:r>
          </w:p>
        </w:tc>
        <w:tc>
          <w:tcPr>
            <w:tcW w:w="992" w:type="dxa"/>
          </w:tcPr>
          <w:p w14:paraId="1548BCBE" w14:textId="77777777" w:rsidR="00A43BE7" w:rsidRPr="0065660C" w:rsidRDefault="00A43BE7" w:rsidP="004E3BA1">
            <w:pPr>
              <w:spacing w:before="40" w:after="40"/>
              <w:jc w:val="right"/>
              <w:rPr>
                <w:sz w:val="18"/>
                <w:szCs w:val="20"/>
              </w:rPr>
            </w:pPr>
            <w:r w:rsidRPr="0065660C">
              <w:rPr>
                <w:sz w:val="18"/>
                <w:szCs w:val="20"/>
              </w:rPr>
              <w:t>73 888</w:t>
            </w:r>
          </w:p>
        </w:tc>
        <w:tc>
          <w:tcPr>
            <w:tcW w:w="992" w:type="dxa"/>
          </w:tcPr>
          <w:p w14:paraId="227D7B59" w14:textId="77777777" w:rsidR="00A43BE7" w:rsidRPr="0065660C" w:rsidRDefault="00A43BE7" w:rsidP="004E3BA1">
            <w:pPr>
              <w:spacing w:before="40" w:after="40"/>
              <w:jc w:val="right"/>
              <w:rPr>
                <w:sz w:val="18"/>
                <w:szCs w:val="20"/>
              </w:rPr>
            </w:pPr>
            <w:r w:rsidRPr="0065660C">
              <w:rPr>
                <w:sz w:val="18"/>
                <w:szCs w:val="20"/>
              </w:rPr>
              <w:t>110 083</w:t>
            </w:r>
          </w:p>
        </w:tc>
        <w:tc>
          <w:tcPr>
            <w:tcW w:w="993" w:type="dxa"/>
          </w:tcPr>
          <w:p w14:paraId="42F1D342" w14:textId="77777777" w:rsidR="00A43BE7" w:rsidRPr="0065660C" w:rsidRDefault="00A43BE7" w:rsidP="004E3BA1">
            <w:pPr>
              <w:spacing w:before="40" w:after="40"/>
              <w:jc w:val="right"/>
              <w:rPr>
                <w:sz w:val="18"/>
                <w:szCs w:val="20"/>
              </w:rPr>
            </w:pPr>
            <w:r w:rsidRPr="0065660C">
              <w:rPr>
                <w:sz w:val="18"/>
                <w:szCs w:val="20"/>
              </w:rPr>
              <w:t>115 217</w:t>
            </w:r>
          </w:p>
        </w:tc>
      </w:tr>
      <w:tr w:rsidR="00A43BE7" w:rsidRPr="0065660C" w14:paraId="05EA4FE9" w14:textId="77777777" w:rsidTr="004E3BA1">
        <w:trPr>
          <w:jc w:val="center"/>
        </w:trPr>
        <w:tc>
          <w:tcPr>
            <w:tcW w:w="1555" w:type="dxa"/>
            <w:shd w:val="clear" w:color="auto" w:fill="E2EFD9" w:themeFill="accent6" w:themeFillTint="33"/>
          </w:tcPr>
          <w:p w14:paraId="57987DCE" w14:textId="77777777" w:rsidR="00A43BE7" w:rsidRPr="0065660C" w:rsidRDefault="00A43BE7" w:rsidP="004E3BA1">
            <w:pPr>
              <w:spacing w:before="40" w:after="40"/>
              <w:jc w:val="center"/>
              <w:rPr>
                <w:b/>
                <w:bCs/>
                <w:sz w:val="18"/>
                <w:szCs w:val="20"/>
              </w:rPr>
            </w:pPr>
            <w:r w:rsidRPr="0065660C">
              <w:rPr>
                <w:b/>
                <w:bCs/>
                <w:sz w:val="18"/>
                <w:szCs w:val="20"/>
              </w:rPr>
              <w:t>Résultat net*</w:t>
            </w:r>
          </w:p>
        </w:tc>
        <w:tc>
          <w:tcPr>
            <w:tcW w:w="1135" w:type="dxa"/>
          </w:tcPr>
          <w:p w14:paraId="101F2739" w14:textId="77777777" w:rsidR="00A43BE7" w:rsidRPr="0065660C" w:rsidRDefault="00A43BE7" w:rsidP="004E3BA1">
            <w:pPr>
              <w:spacing w:before="40" w:after="40"/>
              <w:jc w:val="right"/>
              <w:rPr>
                <w:sz w:val="18"/>
                <w:szCs w:val="20"/>
              </w:rPr>
            </w:pPr>
            <w:r w:rsidRPr="0065660C">
              <w:rPr>
                <w:sz w:val="18"/>
                <w:szCs w:val="20"/>
              </w:rPr>
              <w:t>697</w:t>
            </w:r>
          </w:p>
        </w:tc>
        <w:tc>
          <w:tcPr>
            <w:tcW w:w="992" w:type="dxa"/>
          </w:tcPr>
          <w:p w14:paraId="163071F4" w14:textId="77777777" w:rsidR="00A43BE7" w:rsidRPr="0065660C" w:rsidRDefault="00A43BE7" w:rsidP="004E3BA1">
            <w:pPr>
              <w:spacing w:before="40" w:after="40"/>
              <w:jc w:val="right"/>
              <w:rPr>
                <w:sz w:val="18"/>
                <w:szCs w:val="20"/>
              </w:rPr>
            </w:pPr>
            <w:r w:rsidRPr="0065660C">
              <w:rPr>
                <w:sz w:val="18"/>
                <w:szCs w:val="20"/>
              </w:rPr>
              <w:t>2 323</w:t>
            </w:r>
          </w:p>
        </w:tc>
        <w:tc>
          <w:tcPr>
            <w:tcW w:w="993" w:type="dxa"/>
          </w:tcPr>
          <w:p w14:paraId="5B90529D" w14:textId="77777777" w:rsidR="00A43BE7" w:rsidRPr="0065660C" w:rsidRDefault="00A43BE7" w:rsidP="004E3BA1">
            <w:pPr>
              <w:spacing w:before="40" w:after="40"/>
              <w:jc w:val="right"/>
              <w:rPr>
                <w:sz w:val="18"/>
                <w:szCs w:val="20"/>
              </w:rPr>
            </w:pPr>
            <w:r w:rsidRPr="0065660C">
              <w:rPr>
                <w:sz w:val="18"/>
                <w:szCs w:val="20"/>
              </w:rPr>
              <w:t>2 035</w:t>
            </w:r>
          </w:p>
        </w:tc>
        <w:tc>
          <w:tcPr>
            <w:tcW w:w="992" w:type="dxa"/>
          </w:tcPr>
          <w:p w14:paraId="4ABE3AFC" w14:textId="77777777" w:rsidR="00A43BE7" w:rsidRPr="0065660C" w:rsidRDefault="00A43BE7" w:rsidP="004E3BA1">
            <w:pPr>
              <w:spacing w:before="40" w:after="40"/>
              <w:jc w:val="right"/>
              <w:rPr>
                <w:sz w:val="18"/>
                <w:szCs w:val="20"/>
              </w:rPr>
            </w:pPr>
            <w:r w:rsidRPr="0065660C">
              <w:rPr>
                <w:sz w:val="18"/>
                <w:szCs w:val="20"/>
              </w:rPr>
              <w:t>1 313</w:t>
            </w:r>
          </w:p>
        </w:tc>
        <w:tc>
          <w:tcPr>
            <w:tcW w:w="992" w:type="dxa"/>
          </w:tcPr>
          <w:p w14:paraId="7EE9A93D" w14:textId="77777777" w:rsidR="00A43BE7" w:rsidRPr="0065660C" w:rsidRDefault="00A43BE7" w:rsidP="004E3BA1">
            <w:pPr>
              <w:spacing w:before="40" w:after="40"/>
              <w:jc w:val="right"/>
              <w:rPr>
                <w:sz w:val="18"/>
                <w:szCs w:val="20"/>
              </w:rPr>
            </w:pPr>
            <w:r w:rsidRPr="0065660C">
              <w:rPr>
                <w:sz w:val="18"/>
                <w:szCs w:val="20"/>
              </w:rPr>
              <w:t xml:space="preserve"> 4018</w:t>
            </w:r>
          </w:p>
        </w:tc>
        <w:tc>
          <w:tcPr>
            <w:tcW w:w="992" w:type="dxa"/>
          </w:tcPr>
          <w:p w14:paraId="650E853D" w14:textId="77777777" w:rsidR="00A43BE7" w:rsidRPr="0065660C" w:rsidRDefault="00A43BE7" w:rsidP="004E3BA1">
            <w:pPr>
              <w:spacing w:before="40" w:after="40"/>
              <w:jc w:val="right"/>
              <w:rPr>
                <w:sz w:val="18"/>
                <w:szCs w:val="20"/>
              </w:rPr>
            </w:pPr>
            <w:r w:rsidRPr="0065660C">
              <w:rPr>
                <w:sz w:val="18"/>
                <w:szCs w:val="20"/>
              </w:rPr>
              <w:t>7 010</w:t>
            </w:r>
          </w:p>
        </w:tc>
        <w:tc>
          <w:tcPr>
            <w:tcW w:w="993" w:type="dxa"/>
          </w:tcPr>
          <w:p w14:paraId="791A6D91" w14:textId="77777777" w:rsidR="00A43BE7" w:rsidRPr="0065660C" w:rsidRDefault="00A43BE7" w:rsidP="004E3BA1">
            <w:pPr>
              <w:spacing w:before="40" w:after="40"/>
              <w:jc w:val="right"/>
              <w:rPr>
                <w:sz w:val="18"/>
                <w:szCs w:val="20"/>
              </w:rPr>
            </w:pPr>
            <w:r w:rsidRPr="0065660C">
              <w:rPr>
                <w:sz w:val="18"/>
                <w:szCs w:val="20"/>
              </w:rPr>
              <w:t>5 651</w:t>
            </w:r>
          </w:p>
        </w:tc>
      </w:tr>
      <w:tr w:rsidR="00A43BE7" w14:paraId="200E5913" w14:textId="77777777" w:rsidTr="004E3BA1">
        <w:trPr>
          <w:jc w:val="center"/>
        </w:trPr>
        <w:tc>
          <w:tcPr>
            <w:tcW w:w="8644" w:type="dxa"/>
            <w:gridSpan w:val="8"/>
            <w:shd w:val="clear" w:color="auto" w:fill="E2EFD9" w:themeFill="accent6" w:themeFillTint="33"/>
          </w:tcPr>
          <w:p w14:paraId="0908576B" w14:textId="77777777" w:rsidR="00A43BE7" w:rsidRDefault="00A43BE7" w:rsidP="004E3BA1">
            <w:pPr>
              <w:spacing w:before="40" w:after="40"/>
            </w:pPr>
            <w:r w:rsidRPr="00D1373E">
              <w:rPr>
                <w:sz w:val="18"/>
                <w:szCs w:val="20"/>
              </w:rPr>
              <w:t>* en milliers d’euros</w:t>
            </w:r>
          </w:p>
        </w:tc>
      </w:tr>
    </w:tbl>
    <w:p w14:paraId="617BE007" w14:textId="77777777" w:rsidR="00A43BE7" w:rsidRPr="00D1373E" w:rsidRDefault="00A43BE7" w:rsidP="00A43BE7">
      <w:pPr>
        <w:spacing w:before="60" w:after="60"/>
        <w:ind w:right="-107"/>
        <w:rPr>
          <w:sz w:val="18"/>
          <w:szCs w:val="20"/>
        </w:rPr>
      </w:pPr>
    </w:p>
    <w:p w14:paraId="643FD39A" w14:textId="77777777" w:rsidR="00774448" w:rsidRPr="00A43BE7" w:rsidRDefault="00774448" w:rsidP="00A43BE7"/>
    <w:sectPr w:rsidR="00774448" w:rsidRPr="00A43BE7" w:rsidSect="0077444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77E"/>
    <w:multiLevelType w:val="hybridMultilevel"/>
    <w:tmpl w:val="2EEED9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218E0"/>
    <w:multiLevelType w:val="multilevel"/>
    <w:tmpl w:val="10E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4308A"/>
    <w:multiLevelType w:val="hybridMultilevel"/>
    <w:tmpl w:val="C6BA47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1E4602B"/>
    <w:multiLevelType w:val="multilevel"/>
    <w:tmpl w:val="4D60F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82633D"/>
    <w:multiLevelType w:val="hybridMultilevel"/>
    <w:tmpl w:val="CE52DA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0143AFA"/>
    <w:multiLevelType w:val="hybridMultilevel"/>
    <w:tmpl w:val="6F0A42AA"/>
    <w:lvl w:ilvl="0" w:tplc="81B0D6A0">
      <w:start w:val="1"/>
      <w:numFmt w:val="bullet"/>
      <w:lvlText w:val="-"/>
      <w:lvlJc w:val="left"/>
      <w:pPr>
        <w:ind w:left="282" w:hanging="360"/>
      </w:pPr>
      <w:rPr>
        <w:rFonts w:ascii="Arial" w:eastAsia="Times New Roman" w:hAnsi="Arial" w:cs="Arial" w:hint="default"/>
      </w:rPr>
    </w:lvl>
    <w:lvl w:ilvl="1" w:tplc="040C0003" w:tentative="1">
      <w:start w:val="1"/>
      <w:numFmt w:val="bullet"/>
      <w:lvlText w:val="o"/>
      <w:lvlJc w:val="left"/>
      <w:pPr>
        <w:ind w:left="1002" w:hanging="360"/>
      </w:pPr>
      <w:rPr>
        <w:rFonts w:ascii="Courier New" w:hAnsi="Courier New" w:cs="Courier New" w:hint="default"/>
      </w:rPr>
    </w:lvl>
    <w:lvl w:ilvl="2" w:tplc="040C0005" w:tentative="1">
      <w:start w:val="1"/>
      <w:numFmt w:val="bullet"/>
      <w:lvlText w:val=""/>
      <w:lvlJc w:val="left"/>
      <w:pPr>
        <w:ind w:left="1722" w:hanging="360"/>
      </w:pPr>
      <w:rPr>
        <w:rFonts w:ascii="Wingdings" w:hAnsi="Wingdings" w:hint="default"/>
      </w:rPr>
    </w:lvl>
    <w:lvl w:ilvl="3" w:tplc="040C0001" w:tentative="1">
      <w:start w:val="1"/>
      <w:numFmt w:val="bullet"/>
      <w:lvlText w:val=""/>
      <w:lvlJc w:val="left"/>
      <w:pPr>
        <w:ind w:left="2442" w:hanging="360"/>
      </w:pPr>
      <w:rPr>
        <w:rFonts w:ascii="Symbol" w:hAnsi="Symbol" w:hint="default"/>
      </w:rPr>
    </w:lvl>
    <w:lvl w:ilvl="4" w:tplc="040C0003" w:tentative="1">
      <w:start w:val="1"/>
      <w:numFmt w:val="bullet"/>
      <w:lvlText w:val="o"/>
      <w:lvlJc w:val="left"/>
      <w:pPr>
        <w:ind w:left="3162" w:hanging="360"/>
      </w:pPr>
      <w:rPr>
        <w:rFonts w:ascii="Courier New" w:hAnsi="Courier New" w:cs="Courier New" w:hint="default"/>
      </w:rPr>
    </w:lvl>
    <w:lvl w:ilvl="5" w:tplc="040C0005" w:tentative="1">
      <w:start w:val="1"/>
      <w:numFmt w:val="bullet"/>
      <w:lvlText w:val=""/>
      <w:lvlJc w:val="left"/>
      <w:pPr>
        <w:ind w:left="3882" w:hanging="360"/>
      </w:pPr>
      <w:rPr>
        <w:rFonts w:ascii="Wingdings" w:hAnsi="Wingdings" w:hint="default"/>
      </w:rPr>
    </w:lvl>
    <w:lvl w:ilvl="6" w:tplc="040C0001" w:tentative="1">
      <w:start w:val="1"/>
      <w:numFmt w:val="bullet"/>
      <w:lvlText w:val=""/>
      <w:lvlJc w:val="left"/>
      <w:pPr>
        <w:ind w:left="4602" w:hanging="360"/>
      </w:pPr>
      <w:rPr>
        <w:rFonts w:ascii="Symbol" w:hAnsi="Symbol" w:hint="default"/>
      </w:rPr>
    </w:lvl>
    <w:lvl w:ilvl="7" w:tplc="040C0003" w:tentative="1">
      <w:start w:val="1"/>
      <w:numFmt w:val="bullet"/>
      <w:lvlText w:val="o"/>
      <w:lvlJc w:val="left"/>
      <w:pPr>
        <w:ind w:left="5322" w:hanging="360"/>
      </w:pPr>
      <w:rPr>
        <w:rFonts w:ascii="Courier New" w:hAnsi="Courier New" w:cs="Courier New" w:hint="default"/>
      </w:rPr>
    </w:lvl>
    <w:lvl w:ilvl="8" w:tplc="040C0005" w:tentative="1">
      <w:start w:val="1"/>
      <w:numFmt w:val="bullet"/>
      <w:lvlText w:val=""/>
      <w:lvlJc w:val="left"/>
      <w:pPr>
        <w:ind w:left="6042" w:hanging="360"/>
      </w:pPr>
      <w:rPr>
        <w:rFonts w:ascii="Wingdings" w:hAnsi="Wingdings" w:hint="default"/>
      </w:rPr>
    </w:lvl>
  </w:abstractNum>
  <w:abstractNum w:abstractNumId="6" w15:restartNumberingAfterBreak="0">
    <w:nsid w:val="329A0D69"/>
    <w:multiLevelType w:val="multilevel"/>
    <w:tmpl w:val="67F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62D67"/>
    <w:multiLevelType w:val="hybridMultilevel"/>
    <w:tmpl w:val="F84AF4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AD079F4"/>
    <w:multiLevelType w:val="hybridMultilevel"/>
    <w:tmpl w:val="CD62D8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BF60881"/>
    <w:multiLevelType w:val="hybridMultilevel"/>
    <w:tmpl w:val="C7302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E971E0"/>
    <w:multiLevelType w:val="hybridMultilevel"/>
    <w:tmpl w:val="FB8235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32C599B"/>
    <w:multiLevelType w:val="hybridMultilevel"/>
    <w:tmpl w:val="AA668E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A4A5EA5"/>
    <w:multiLevelType w:val="hybridMultilevel"/>
    <w:tmpl w:val="5E985B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8785BAD"/>
    <w:multiLevelType w:val="multilevel"/>
    <w:tmpl w:val="A8D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A2EA6"/>
    <w:multiLevelType w:val="hybridMultilevel"/>
    <w:tmpl w:val="C7FCBF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72206018">
    <w:abstractNumId w:val="10"/>
  </w:num>
  <w:num w:numId="2" w16cid:durableId="287246931">
    <w:abstractNumId w:val="12"/>
  </w:num>
  <w:num w:numId="3" w16cid:durableId="1141197133">
    <w:abstractNumId w:val="9"/>
  </w:num>
  <w:num w:numId="4" w16cid:durableId="1942949896">
    <w:abstractNumId w:val="5"/>
  </w:num>
  <w:num w:numId="5" w16cid:durableId="71658545">
    <w:abstractNumId w:val="0"/>
  </w:num>
  <w:num w:numId="6" w16cid:durableId="178860228">
    <w:abstractNumId w:val="7"/>
  </w:num>
  <w:num w:numId="7" w16cid:durableId="713849494">
    <w:abstractNumId w:val="8"/>
  </w:num>
  <w:num w:numId="8" w16cid:durableId="1492326775">
    <w:abstractNumId w:val="14"/>
  </w:num>
  <w:num w:numId="9" w16cid:durableId="151989544">
    <w:abstractNumId w:val="2"/>
  </w:num>
  <w:num w:numId="10" w16cid:durableId="1586642645">
    <w:abstractNumId w:val="1"/>
  </w:num>
  <w:num w:numId="11" w16cid:durableId="362092647">
    <w:abstractNumId w:val="3"/>
  </w:num>
  <w:num w:numId="12" w16cid:durableId="1010260368">
    <w:abstractNumId w:val="13"/>
  </w:num>
  <w:num w:numId="13" w16cid:durableId="144010370">
    <w:abstractNumId w:val="6"/>
  </w:num>
  <w:num w:numId="14" w16cid:durableId="1165322796">
    <w:abstractNumId w:val="11"/>
  </w:num>
  <w:num w:numId="15" w16cid:durableId="131059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8"/>
    <w:rsid w:val="001B014B"/>
    <w:rsid w:val="00266F2F"/>
    <w:rsid w:val="00431259"/>
    <w:rsid w:val="00705024"/>
    <w:rsid w:val="0073127D"/>
    <w:rsid w:val="00744B11"/>
    <w:rsid w:val="00774448"/>
    <w:rsid w:val="00A43BE7"/>
    <w:rsid w:val="00B771C3"/>
    <w:rsid w:val="00C84EFB"/>
    <w:rsid w:val="00DB499D"/>
    <w:rsid w:val="00DD2C00"/>
    <w:rsid w:val="00E357D0"/>
    <w:rsid w:val="00FD063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C8EA"/>
  <w15:chartTrackingRefBased/>
  <w15:docId w15:val="{D220501E-2BAA-469F-BB9C-A8212B2F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48"/>
    <w:pPr>
      <w:spacing w:after="0" w:line="240" w:lineRule="auto"/>
    </w:pPr>
    <w:rPr>
      <w:rFonts w:ascii="Arial" w:hAnsi="Arial"/>
      <w:sz w:val="20"/>
    </w:rPr>
  </w:style>
  <w:style w:type="paragraph" w:styleId="Titre2">
    <w:name w:val="heading 2"/>
    <w:basedOn w:val="Normal"/>
    <w:link w:val="Titre2Car"/>
    <w:uiPriority w:val="9"/>
    <w:qFormat/>
    <w:rsid w:val="00774448"/>
    <w:pPr>
      <w:spacing w:before="120" w:after="120"/>
      <w:outlineLvl w:val="1"/>
    </w:pPr>
    <w:rPr>
      <w:rFonts w:eastAsia="Times New Roman" w:cs="Arial"/>
      <w:b/>
      <w:color w:val="00B0F0"/>
      <w:sz w:val="24"/>
      <w:szCs w:val="20"/>
      <w:lang w:eastAsia="fr-FR"/>
    </w:rPr>
  </w:style>
  <w:style w:type="paragraph" w:styleId="Titre3">
    <w:name w:val="heading 3"/>
    <w:basedOn w:val="Normal"/>
    <w:link w:val="Titre3Car"/>
    <w:uiPriority w:val="9"/>
    <w:qFormat/>
    <w:rsid w:val="00774448"/>
    <w:pPr>
      <w:spacing w:before="240" w:after="120"/>
      <w:outlineLvl w:val="2"/>
    </w:pPr>
    <w:rPr>
      <w:rFonts w:eastAsia="Times New Roman" w:cs="Arial"/>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4448"/>
    <w:rPr>
      <w:rFonts w:ascii="Arial" w:eastAsia="Times New Roman" w:hAnsi="Arial" w:cs="Arial"/>
      <w:b/>
      <w:color w:val="00B0F0"/>
      <w:sz w:val="24"/>
      <w:szCs w:val="20"/>
      <w:lang w:eastAsia="fr-FR"/>
    </w:rPr>
  </w:style>
  <w:style w:type="character" w:customStyle="1" w:styleId="Titre3Car">
    <w:name w:val="Titre 3 Car"/>
    <w:basedOn w:val="Policepardfaut"/>
    <w:link w:val="Titre3"/>
    <w:uiPriority w:val="9"/>
    <w:rsid w:val="00774448"/>
    <w:rPr>
      <w:rFonts w:ascii="Arial" w:eastAsia="Times New Roman" w:hAnsi="Arial" w:cs="Arial"/>
      <w:b/>
      <w:sz w:val="24"/>
      <w:szCs w:val="24"/>
      <w:lang w:eastAsia="fr-FR"/>
    </w:rPr>
  </w:style>
  <w:style w:type="character" w:styleId="Lienhypertexte">
    <w:name w:val="Hyperlink"/>
    <w:basedOn w:val="Policepardfaut"/>
    <w:uiPriority w:val="99"/>
    <w:unhideWhenUsed/>
    <w:rsid w:val="00774448"/>
    <w:rPr>
      <w:color w:val="0000FF"/>
      <w:u w:val="single"/>
    </w:rPr>
  </w:style>
  <w:style w:type="paragraph" w:styleId="Paragraphedeliste">
    <w:name w:val="List Paragraph"/>
    <w:basedOn w:val="Normal"/>
    <w:uiPriority w:val="34"/>
    <w:qFormat/>
    <w:rsid w:val="00774448"/>
    <w:pPr>
      <w:ind w:left="720"/>
      <w:contextualSpacing/>
    </w:pPr>
  </w:style>
  <w:style w:type="table" w:styleId="Grilledutableau">
    <w:name w:val="Table Grid"/>
    <w:basedOn w:val="TableauNormal"/>
    <w:uiPriority w:val="59"/>
    <w:rsid w:val="00774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Procduretitre">
    <w:name w:val="1 Procédure titre"/>
    <w:basedOn w:val="Normal"/>
    <w:uiPriority w:val="99"/>
    <w:rsid w:val="00774448"/>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after="57" w:line="288" w:lineRule="auto"/>
      <w:jc w:val="both"/>
      <w:textAlignment w:val="center"/>
    </w:pPr>
    <w:rPr>
      <w:rFonts w:eastAsia="Calibri" w:cs="Arial"/>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www.berod-recyclage.fr" TargetMode="External"/><Relationship Id="rId4" Type="http://schemas.openxmlformats.org/officeDocument/2006/relationships/webSettings" Target="webSettings.xml"/><Relationship Id="rId9" Type="http://schemas.openxmlformats.org/officeDocument/2006/relationships/hyperlink" Target="mailto:contact@berod-recycla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6</cp:revision>
  <dcterms:created xsi:type="dcterms:W3CDTF">2019-09-19T08:10:00Z</dcterms:created>
  <dcterms:modified xsi:type="dcterms:W3CDTF">2025-01-23T22:42:00Z</dcterms:modified>
</cp:coreProperties>
</file>