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18" w:type="dxa"/>
        <w:shd w:val="clear" w:color="auto" w:fill="FFFF00"/>
        <w:tblLook w:val="04A0" w:firstRow="1" w:lastRow="0" w:firstColumn="1" w:lastColumn="0" w:noHBand="0" w:noVBand="1"/>
      </w:tblPr>
      <w:tblGrid>
        <w:gridCol w:w="1413"/>
        <w:gridCol w:w="7229"/>
        <w:gridCol w:w="1276"/>
      </w:tblGrid>
      <w:tr w:rsidR="00527DA7" w:rsidRPr="00A54200" w14:paraId="32884BCC" w14:textId="77777777" w:rsidTr="00385EB6">
        <w:trPr>
          <w:trHeight w:val="386"/>
        </w:trPr>
        <w:tc>
          <w:tcPr>
            <w:tcW w:w="9918" w:type="dxa"/>
            <w:gridSpan w:val="3"/>
            <w:shd w:val="clear" w:color="auto" w:fill="FFFF00"/>
          </w:tcPr>
          <w:p w14:paraId="65601812" w14:textId="7897314A" w:rsidR="00527DA7" w:rsidRPr="00A54200" w:rsidRDefault="00527DA7" w:rsidP="00385EB6">
            <w:pPr>
              <w:pStyle w:val="Titre3"/>
              <w:spacing w:before="120" w:after="120"/>
              <w:jc w:val="center"/>
              <w:rPr>
                <w:rFonts w:cs="Arial"/>
                <w:sz w:val="28"/>
                <w:szCs w:val="28"/>
              </w:rPr>
            </w:pPr>
            <w:bookmarkStart w:id="0" w:name="_Hlk118498510"/>
            <w:r w:rsidRPr="00A54200">
              <w:rPr>
                <w:rFonts w:cs="Arial"/>
                <w:sz w:val="28"/>
                <w:szCs w:val="28"/>
              </w:rPr>
              <w:t>Réflexions 0</w:t>
            </w:r>
            <w:r w:rsidR="00A54200" w:rsidRPr="00A54200">
              <w:rPr>
                <w:rFonts w:cs="Arial"/>
                <w:sz w:val="28"/>
                <w:szCs w:val="28"/>
              </w:rPr>
              <w:t>7</w:t>
            </w:r>
            <w:r w:rsidRPr="00A54200">
              <w:rPr>
                <w:rFonts w:cs="Arial"/>
                <w:sz w:val="28"/>
                <w:szCs w:val="28"/>
              </w:rPr>
              <w:t xml:space="preserve"> – Comprendre le compte professionnel de prévention (C2P)</w:t>
            </w:r>
          </w:p>
        </w:tc>
      </w:tr>
      <w:tr w:rsidR="00527DA7" w:rsidRPr="00644787" w14:paraId="19EA726C" w14:textId="77777777" w:rsidTr="00385EB6">
        <w:trPr>
          <w:trHeight w:val="504"/>
        </w:trPr>
        <w:tc>
          <w:tcPr>
            <w:tcW w:w="1413" w:type="dxa"/>
            <w:shd w:val="clear" w:color="auto" w:fill="FFFF00"/>
            <w:vAlign w:val="center"/>
          </w:tcPr>
          <w:p w14:paraId="31D0A21C" w14:textId="77777777" w:rsidR="00527DA7" w:rsidRPr="00644787" w:rsidRDefault="00527DA7" w:rsidP="00385EB6">
            <w:pPr>
              <w:spacing w:before="0"/>
              <w:jc w:val="center"/>
              <w:rPr>
                <w:rFonts w:cs="Arial"/>
              </w:rPr>
            </w:pPr>
            <w:r w:rsidRPr="00360D8B">
              <w:rPr>
                <w:rFonts w:cs="Arial"/>
                <w:bCs/>
              </w:rPr>
              <w:t>Durée</w:t>
            </w:r>
            <w:r>
              <w:rPr>
                <w:rFonts w:cs="Arial"/>
              </w:rPr>
              <w:t xml:space="preserve"> : 20’</w:t>
            </w:r>
          </w:p>
        </w:tc>
        <w:tc>
          <w:tcPr>
            <w:tcW w:w="7229" w:type="dxa"/>
            <w:shd w:val="clear" w:color="auto" w:fill="FFFF00"/>
            <w:vAlign w:val="center"/>
          </w:tcPr>
          <w:p w14:paraId="2BE7CD36" w14:textId="7DF1561B" w:rsidR="00527DA7" w:rsidRPr="00644787" w:rsidRDefault="00310EC7" w:rsidP="00385EB6">
            <w:pPr>
              <w:spacing w:before="0"/>
              <w:jc w:val="center"/>
              <w:rPr>
                <w:rFonts w:cs="Arial"/>
              </w:rPr>
            </w:pPr>
            <w:r>
              <w:rPr>
                <w:rFonts w:cs="Arial"/>
                <w:b/>
                <w:bCs/>
                <w:noProof/>
                <w:color w:val="000000" w:themeColor="text1"/>
                <w:szCs w:val="20"/>
              </w:rPr>
              <w:drawing>
                <wp:inline distT="0" distB="0" distL="0" distR="0" wp14:anchorId="2E81539A" wp14:editId="32711649">
                  <wp:extent cx="324000" cy="324000"/>
                  <wp:effectExtent l="0" t="0" r="0" b="0"/>
                  <wp:docPr id="25" name="Graphique 2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que 21"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rFonts w:cs="Arial"/>
                <w:b/>
                <w:bCs/>
                <w:color w:val="000000" w:themeColor="text1"/>
                <w:szCs w:val="20"/>
              </w:rPr>
              <w:t>ou</w:t>
            </w:r>
            <w:r>
              <w:rPr>
                <w:rFonts w:cs="Arial"/>
                <w:b/>
                <w:bCs/>
                <w:noProof/>
                <w:color w:val="000000" w:themeColor="text1"/>
                <w:szCs w:val="20"/>
              </w:rPr>
              <w:drawing>
                <wp:inline distT="0" distB="0" distL="0" distR="0" wp14:anchorId="3770B21B" wp14:editId="796D8980">
                  <wp:extent cx="360000" cy="360000"/>
                  <wp:effectExtent l="0" t="0" r="0" b="2540"/>
                  <wp:docPr id="26" name="Graphique 2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276" w:type="dxa"/>
            <w:shd w:val="clear" w:color="auto" w:fill="FFFF00"/>
            <w:vAlign w:val="center"/>
          </w:tcPr>
          <w:p w14:paraId="76B85D91" w14:textId="77777777" w:rsidR="00527DA7" w:rsidRPr="00360D8B" w:rsidRDefault="00527DA7" w:rsidP="00385EB6">
            <w:pPr>
              <w:spacing w:before="0"/>
              <w:jc w:val="center"/>
              <w:rPr>
                <w:rFonts w:cs="Arial"/>
                <w:bCs/>
              </w:rPr>
            </w:pPr>
            <w:r w:rsidRPr="00360D8B">
              <w:rPr>
                <w:bCs/>
              </w:rPr>
              <w:t>Source</w:t>
            </w:r>
          </w:p>
        </w:tc>
      </w:tr>
    </w:tbl>
    <w:p w14:paraId="52345EB1" w14:textId="77777777" w:rsidR="00527DA7" w:rsidRDefault="00527DA7" w:rsidP="00527DA7">
      <w:pPr>
        <w:spacing w:before="0"/>
        <w:rPr>
          <w:rFonts w:cs="Arial"/>
        </w:rPr>
      </w:pPr>
    </w:p>
    <w:p w14:paraId="3E2194C0" w14:textId="77777777" w:rsidR="00527DA7" w:rsidRPr="0008701A" w:rsidRDefault="00527DA7" w:rsidP="00527DA7">
      <w:pPr>
        <w:spacing w:before="0"/>
        <w:rPr>
          <w:rFonts w:cs="Arial"/>
          <w:b/>
          <w:sz w:val="24"/>
          <w:szCs w:val="28"/>
        </w:rPr>
      </w:pPr>
      <w:r w:rsidRPr="0008701A">
        <w:rPr>
          <w:rFonts w:cs="Arial"/>
          <w:b/>
          <w:sz w:val="24"/>
          <w:szCs w:val="28"/>
        </w:rPr>
        <w:t>Travail à faire</w:t>
      </w:r>
    </w:p>
    <w:p w14:paraId="29546B88" w14:textId="77777777" w:rsidR="00527DA7" w:rsidRPr="001373E3" w:rsidRDefault="00527DA7" w:rsidP="00A54200">
      <w:pPr>
        <w:spacing w:before="60" w:after="60"/>
        <w:rPr>
          <w:rFonts w:cs="Arial"/>
          <w:bCs/>
          <w:lang w:eastAsia="fr-FR"/>
        </w:rPr>
      </w:pPr>
      <w:r w:rsidRPr="001373E3">
        <w:rPr>
          <w:rFonts w:cs="Arial"/>
          <w:bCs/>
          <w:lang w:eastAsia="fr-FR"/>
        </w:rPr>
        <w:t xml:space="preserve">Après avoir lu le </w:t>
      </w:r>
      <w:r w:rsidRPr="001373E3">
        <w:rPr>
          <w:rFonts w:cs="Arial"/>
          <w:b/>
          <w:lang w:eastAsia="fr-FR"/>
        </w:rPr>
        <w:t>document</w:t>
      </w:r>
      <w:r w:rsidRPr="001373E3">
        <w:rPr>
          <w:rFonts w:cs="Arial"/>
          <w:bCs/>
          <w:lang w:eastAsia="fr-FR"/>
        </w:rPr>
        <w:t xml:space="preserve"> répondez aux questions suivantes :</w:t>
      </w:r>
    </w:p>
    <w:p w14:paraId="26AE1BD2" w14:textId="77777777" w:rsidR="00527DA7" w:rsidRPr="00814D51" w:rsidRDefault="00527DA7" w:rsidP="00527DA7">
      <w:pPr>
        <w:pStyle w:val="Paragraphedeliste"/>
        <w:numPr>
          <w:ilvl w:val="0"/>
          <w:numId w:val="8"/>
        </w:numPr>
        <w:spacing w:before="0"/>
        <w:rPr>
          <w:rFonts w:cs="Arial"/>
          <w:bCs/>
        </w:rPr>
      </w:pPr>
      <w:r>
        <w:rPr>
          <w:rFonts w:cs="Arial"/>
          <w:bCs/>
        </w:rPr>
        <w:t>Quelle est la finalité du C2P</w:t>
      </w:r>
      <w:r w:rsidRPr="00814D51">
        <w:rPr>
          <w:rFonts w:cs="Arial"/>
          <w:bCs/>
        </w:rPr>
        <w:t> ?</w:t>
      </w:r>
    </w:p>
    <w:p w14:paraId="006E11D9" w14:textId="77777777" w:rsidR="00527DA7" w:rsidRDefault="00527DA7" w:rsidP="00527DA7">
      <w:pPr>
        <w:pStyle w:val="Paragraphedeliste"/>
        <w:numPr>
          <w:ilvl w:val="0"/>
          <w:numId w:val="8"/>
        </w:numPr>
        <w:spacing w:before="0"/>
        <w:rPr>
          <w:rFonts w:cs="Arial"/>
          <w:bCs/>
        </w:rPr>
      </w:pPr>
      <w:r w:rsidRPr="00814D51">
        <w:rPr>
          <w:rFonts w:cs="Arial"/>
          <w:bCs/>
        </w:rPr>
        <w:t>Que</w:t>
      </w:r>
      <w:r>
        <w:rPr>
          <w:rFonts w:cs="Arial"/>
          <w:bCs/>
        </w:rPr>
        <w:t xml:space="preserve">ls sont les salariés concernés </w:t>
      </w:r>
      <w:r w:rsidRPr="00814D51">
        <w:rPr>
          <w:rFonts w:cs="Arial"/>
          <w:bCs/>
        </w:rPr>
        <w:t>?</w:t>
      </w:r>
    </w:p>
    <w:p w14:paraId="19AF5B0C" w14:textId="77777777" w:rsidR="00527DA7" w:rsidRPr="00814D51" w:rsidRDefault="00527DA7" w:rsidP="00527DA7">
      <w:pPr>
        <w:pStyle w:val="Paragraphedeliste"/>
        <w:numPr>
          <w:ilvl w:val="0"/>
          <w:numId w:val="8"/>
        </w:numPr>
        <w:spacing w:before="0"/>
        <w:rPr>
          <w:rFonts w:cs="Arial"/>
          <w:bCs/>
        </w:rPr>
      </w:pPr>
      <w:r>
        <w:rPr>
          <w:rFonts w:cs="Arial"/>
          <w:bCs/>
        </w:rPr>
        <w:t>Quelles sont les modalités de mise en œuvre du C2P ?</w:t>
      </w:r>
    </w:p>
    <w:p w14:paraId="77448B16" w14:textId="77777777" w:rsidR="00527DA7" w:rsidRPr="00814D51" w:rsidRDefault="00527DA7" w:rsidP="00527DA7">
      <w:pPr>
        <w:pStyle w:val="Paragraphedeliste"/>
        <w:numPr>
          <w:ilvl w:val="0"/>
          <w:numId w:val="8"/>
        </w:numPr>
        <w:spacing w:before="0"/>
        <w:rPr>
          <w:rFonts w:cs="Arial"/>
          <w:bCs/>
        </w:rPr>
      </w:pPr>
      <w:r>
        <w:rPr>
          <w:rFonts w:cs="Arial"/>
          <w:bCs/>
        </w:rPr>
        <w:t xml:space="preserve">À quoi peuvent servir les droits acquis </w:t>
      </w:r>
      <w:r w:rsidRPr="00814D51">
        <w:rPr>
          <w:rFonts w:cs="Arial"/>
          <w:bCs/>
        </w:rPr>
        <w:t>?</w:t>
      </w:r>
    </w:p>
    <w:p w14:paraId="1B98CB62" w14:textId="77777777" w:rsidR="00527DA7" w:rsidRPr="00644787" w:rsidRDefault="00527DA7" w:rsidP="00527DA7">
      <w:pPr>
        <w:spacing w:before="0"/>
        <w:rPr>
          <w:rFonts w:cs="Arial"/>
        </w:rPr>
      </w:pPr>
    </w:p>
    <w:p w14:paraId="4FBF3E8D" w14:textId="77777777" w:rsidR="00527DA7" w:rsidRPr="0008701A" w:rsidRDefault="00527DA7" w:rsidP="00527DA7">
      <w:pPr>
        <w:rPr>
          <w:rFonts w:cs="Arial"/>
          <w:b/>
          <w:bCs/>
          <w:sz w:val="24"/>
          <w:szCs w:val="28"/>
        </w:rPr>
      </w:pPr>
      <w:r w:rsidRPr="001373E3">
        <w:rPr>
          <w:rFonts w:cs="Arial"/>
          <w:b/>
          <w:color w:val="FFFFFF" w:themeColor="background1"/>
          <w:sz w:val="24"/>
          <w:szCs w:val="28"/>
          <w:highlight w:val="red"/>
        </w:rPr>
        <w:t xml:space="preserve">Doc. </w:t>
      </w:r>
      <w:r w:rsidRPr="001373E3">
        <w:rPr>
          <w:rFonts w:cs="Arial"/>
          <w:b/>
          <w:color w:val="FFFFFF" w:themeColor="background1"/>
          <w:sz w:val="24"/>
          <w:szCs w:val="28"/>
        </w:rPr>
        <w:t xml:space="preserve"> </w:t>
      </w:r>
      <w:r w:rsidRPr="0008701A">
        <w:rPr>
          <w:rFonts w:cs="Arial"/>
          <w:b/>
          <w:bCs/>
          <w:sz w:val="24"/>
          <w:szCs w:val="28"/>
        </w:rPr>
        <w:t>Le compte professionnel de prévention (C2P)</w:t>
      </w:r>
    </w:p>
    <w:p w14:paraId="76CF79CA" w14:textId="77777777" w:rsidR="00527DA7" w:rsidRPr="0008701A" w:rsidRDefault="00527DA7" w:rsidP="00527DA7">
      <w:pPr>
        <w:spacing w:after="120"/>
        <w:rPr>
          <w:rFonts w:cs="Arial"/>
          <w:i/>
          <w:iCs/>
          <w:sz w:val="18"/>
          <w:szCs w:val="20"/>
        </w:rPr>
      </w:pPr>
      <w:r w:rsidRPr="0008701A">
        <w:rPr>
          <w:rFonts w:cs="Arial"/>
          <w:i/>
          <w:iCs/>
          <w:sz w:val="18"/>
          <w:szCs w:val="20"/>
        </w:rPr>
        <w:t>Source : www.compteprofessionnelprevention.fr/</w:t>
      </w:r>
    </w:p>
    <w:p w14:paraId="10804108" w14:textId="77777777" w:rsidR="00527DA7" w:rsidRPr="0008701A" w:rsidRDefault="00527DA7" w:rsidP="00527DA7">
      <w:pPr>
        <w:shd w:val="clear" w:color="auto" w:fill="FFFFFF"/>
        <w:spacing w:before="0" w:after="120"/>
        <w:jc w:val="left"/>
        <w:rPr>
          <w:rFonts w:eastAsia="Times New Roman" w:cs="Arial"/>
          <w:color w:val="5A5A5A"/>
          <w:sz w:val="22"/>
          <w:lang w:eastAsia="fr-FR"/>
        </w:rPr>
      </w:pPr>
      <w:r w:rsidRPr="0008701A">
        <w:rPr>
          <w:rFonts w:eastAsia="Times New Roman" w:cs="Arial"/>
          <w:b/>
          <w:bCs/>
          <w:color w:val="5A5A5A"/>
          <w:sz w:val="22"/>
          <w:lang w:eastAsia="fr-FR"/>
        </w:rPr>
        <w:t>Les grands principes</w:t>
      </w:r>
    </w:p>
    <w:p w14:paraId="234B931E" w14:textId="77777777" w:rsidR="00527DA7" w:rsidRPr="0008701A" w:rsidRDefault="00527DA7" w:rsidP="00527DA7">
      <w:pPr>
        <w:shd w:val="clear" w:color="auto" w:fill="FFFFFF"/>
        <w:spacing w:before="0" w:after="120"/>
        <w:rPr>
          <w:rFonts w:eastAsia="Times New Roman" w:cs="Arial"/>
          <w:color w:val="5A5A5A"/>
          <w:szCs w:val="20"/>
          <w:lang w:eastAsia="fr-FR"/>
        </w:rPr>
      </w:pPr>
      <w:r w:rsidRPr="0008701A">
        <w:rPr>
          <w:rFonts w:eastAsia="Times New Roman" w:cs="Arial"/>
          <w:b/>
          <w:bCs/>
          <w:color w:val="5A5A5A"/>
          <w:szCs w:val="20"/>
          <w:lang w:eastAsia="fr-FR"/>
        </w:rPr>
        <w:t>L'exposition à un ou plusieurs facteurs de risques professionnels est susceptible de laisser des traces durables, identifiables et irréversibles sur la santé.</w:t>
      </w:r>
    </w:p>
    <w:p w14:paraId="2557BD1E" w14:textId="77777777" w:rsidR="00527DA7" w:rsidRPr="0008701A" w:rsidRDefault="00527DA7" w:rsidP="00527DA7">
      <w:pPr>
        <w:shd w:val="clear" w:color="auto" w:fill="FFFFFF"/>
        <w:spacing w:before="0" w:after="120"/>
        <w:rPr>
          <w:rFonts w:eastAsia="Times New Roman" w:cs="Arial"/>
          <w:color w:val="5A5A5A"/>
          <w:szCs w:val="20"/>
          <w:lang w:eastAsia="fr-FR"/>
        </w:rPr>
      </w:pPr>
      <w:r w:rsidRPr="0008701A">
        <w:rPr>
          <w:rFonts w:eastAsia="Times New Roman" w:cs="Arial"/>
          <w:color w:val="5A5A5A"/>
          <w:szCs w:val="20"/>
          <w:lang w:eastAsia="fr-FR"/>
        </w:rPr>
        <w:t>Certains facteurs de risques sont liés à des contraintes physiques marquées, à un environnement physique agressif ou à certains rythmes de travail. Les expositions à ces facteurs sont évaluées après prise en compte des mesures de protection collective et individuelle mises en œuvre par l'employeur.</w:t>
      </w:r>
    </w:p>
    <w:p w14:paraId="31FEEBDC" w14:textId="77777777" w:rsidR="00527DA7" w:rsidRPr="0008701A" w:rsidRDefault="00527DA7" w:rsidP="00527DA7">
      <w:pPr>
        <w:shd w:val="clear" w:color="auto" w:fill="FFFFFF"/>
        <w:spacing w:before="0"/>
        <w:rPr>
          <w:rFonts w:eastAsia="Times New Roman" w:cs="Arial"/>
          <w:color w:val="5A5A5A"/>
          <w:szCs w:val="20"/>
          <w:lang w:eastAsia="fr-FR"/>
        </w:rPr>
      </w:pPr>
      <w:r w:rsidRPr="0008701A">
        <w:rPr>
          <w:rFonts w:eastAsia="Times New Roman" w:cs="Arial"/>
          <w:b/>
          <w:bCs/>
          <w:color w:val="5A5A5A"/>
          <w:szCs w:val="20"/>
          <w:lang w:eastAsia="fr-FR"/>
        </w:rPr>
        <w:t>Depuis le 1</w:t>
      </w:r>
      <w:r w:rsidRPr="0008701A">
        <w:rPr>
          <w:rFonts w:eastAsia="Times New Roman" w:cs="Arial"/>
          <w:b/>
          <w:bCs/>
          <w:color w:val="5A5A5A"/>
          <w:szCs w:val="20"/>
          <w:vertAlign w:val="superscript"/>
          <w:lang w:eastAsia="fr-FR"/>
        </w:rPr>
        <w:t>er</w:t>
      </w:r>
      <w:r w:rsidRPr="0008701A">
        <w:rPr>
          <w:rFonts w:eastAsia="Times New Roman" w:cs="Arial"/>
          <w:b/>
          <w:bCs/>
          <w:color w:val="5A5A5A"/>
          <w:szCs w:val="20"/>
          <w:lang w:eastAsia="fr-FR"/>
        </w:rPr>
        <w:t> octobre 2017, le  Compte professionnel de prévention prend en compte 6 facteurs :</w:t>
      </w:r>
    </w:p>
    <w:p w14:paraId="1BAB2719" w14:textId="77777777" w:rsidR="00527DA7" w:rsidRPr="0008701A" w:rsidRDefault="00527DA7" w:rsidP="00527DA7">
      <w:pPr>
        <w:numPr>
          <w:ilvl w:val="0"/>
          <w:numId w:val="5"/>
        </w:numPr>
        <w:shd w:val="clear" w:color="auto" w:fill="FFFFFF"/>
        <w:spacing w:before="0"/>
        <w:rPr>
          <w:rFonts w:eastAsia="Times New Roman" w:cs="Arial"/>
          <w:color w:val="5A5A5A"/>
          <w:szCs w:val="20"/>
          <w:lang w:eastAsia="fr-FR"/>
        </w:rPr>
      </w:pPr>
      <w:r w:rsidRPr="0008701A">
        <w:rPr>
          <w:rFonts w:eastAsia="Times New Roman" w:cs="Arial"/>
          <w:color w:val="5A5A5A"/>
          <w:szCs w:val="20"/>
          <w:lang w:eastAsia="fr-FR"/>
        </w:rPr>
        <w:t>les activités exercées en milieu hyperbare (hautes pressions)</w:t>
      </w:r>
    </w:p>
    <w:p w14:paraId="1007AB33" w14:textId="77777777" w:rsidR="00527DA7" w:rsidRPr="0008701A" w:rsidRDefault="00527DA7" w:rsidP="00527DA7">
      <w:pPr>
        <w:numPr>
          <w:ilvl w:val="0"/>
          <w:numId w:val="5"/>
        </w:numPr>
        <w:shd w:val="clear" w:color="auto" w:fill="FFFFFF"/>
        <w:spacing w:before="0"/>
        <w:rPr>
          <w:rFonts w:eastAsia="Times New Roman" w:cs="Arial"/>
          <w:color w:val="5A5A5A"/>
          <w:szCs w:val="20"/>
          <w:lang w:eastAsia="fr-FR"/>
        </w:rPr>
      </w:pPr>
      <w:r w:rsidRPr="0008701A">
        <w:rPr>
          <w:rFonts w:eastAsia="Times New Roman" w:cs="Arial"/>
          <w:color w:val="5A5A5A"/>
          <w:szCs w:val="20"/>
          <w:lang w:eastAsia="fr-FR"/>
        </w:rPr>
        <w:t>les températures extrêmes</w:t>
      </w:r>
    </w:p>
    <w:p w14:paraId="113F7116" w14:textId="77777777" w:rsidR="00527DA7" w:rsidRPr="0008701A" w:rsidRDefault="00527DA7" w:rsidP="00527DA7">
      <w:pPr>
        <w:numPr>
          <w:ilvl w:val="0"/>
          <w:numId w:val="5"/>
        </w:numPr>
        <w:shd w:val="clear" w:color="auto" w:fill="FFFFFF"/>
        <w:spacing w:before="0"/>
        <w:rPr>
          <w:rFonts w:eastAsia="Times New Roman" w:cs="Arial"/>
          <w:color w:val="5A5A5A"/>
          <w:szCs w:val="20"/>
          <w:lang w:eastAsia="fr-FR"/>
        </w:rPr>
      </w:pPr>
      <w:r w:rsidRPr="0008701A">
        <w:rPr>
          <w:rFonts w:eastAsia="Times New Roman" w:cs="Arial"/>
          <w:color w:val="5A5A5A"/>
          <w:szCs w:val="20"/>
          <w:lang w:eastAsia="fr-FR"/>
        </w:rPr>
        <w:t>le bruit</w:t>
      </w:r>
    </w:p>
    <w:p w14:paraId="49E21D40" w14:textId="77777777" w:rsidR="00527DA7" w:rsidRPr="0008701A" w:rsidRDefault="00527DA7" w:rsidP="00527DA7">
      <w:pPr>
        <w:numPr>
          <w:ilvl w:val="0"/>
          <w:numId w:val="5"/>
        </w:numPr>
        <w:shd w:val="clear" w:color="auto" w:fill="FFFFFF"/>
        <w:spacing w:before="0"/>
        <w:rPr>
          <w:rFonts w:eastAsia="Times New Roman" w:cs="Arial"/>
          <w:color w:val="5A5A5A"/>
          <w:szCs w:val="20"/>
          <w:lang w:eastAsia="fr-FR"/>
        </w:rPr>
      </w:pPr>
      <w:r w:rsidRPr="0008701A">
        <w:rPr>
          <w:rFonts w:eastAsia="Times New Roman" w:cs="Arial"/>
          <w:color w:val="5A5A5A"/>
          <w:szCs w:val="20"/>
          <w:lang w:eastAsia="fr-FR"/>
        </w:rPr>
        <w:t>le travail de nuit</w:t>
      </w:r>
    </w:p>
    <w:p w14:paraId="02890C4D" w14:textId="77777777" w:rsidR="00527DA7" w:rsidRPr="0008701A" w:rsidRDefault="00527DA7" w:rsidP="00527DA7">
      <w:pPr>
        <w:numPr>
          <w:ilvl w:val="0"/>
          <w:numId w:val="5"/>
        </w:numPr>
        <w:shd w:val="clear" w:color="auto" w:fill="FFFFFF"/>
        <w:spacing w:before="0"/>
        <w:rPr>
          <w:rFonts w:eastAsia="Times New Roman" w:cs="Arial"/>
          <w:color w:val="5A5A5A"/>
          <w:szCs w:val="20"/>
          <w:lang w:eastAsia="fr-FR"/>
        </w:rPr>
      </w:pPr>
      <w:r w:rsidRPr="0008701A">
        <w:rPr>
          <w:rFonts w:eastAsia="Times New Roman" w:cs="Arial"/>
          <w:color w:val="5A5A5A"/>
          <w:szCs w:val="20"/>
          <w:lang w:eastAsia="fr-FR"/>
        </w:rPr>
        <w:t>le travail en équipes successives alternantes</w:t>
      </w:r>
    </w:p>
    <w:p w14:paraId="5EA99699" w14:textId="77777777" w:rsidR="00527DA7" w:rsidRPr="0008701A" w:rsidRDefault="00527DA7" w:rsidP="00527DA7">
      <w:pPr>
        <w:numPr>
          <w:ilvl w:val="0"/>
          <w:numId w:val="5"/>
        </w:numPr>
        <w:shd w:val="clear" w:color="auto" w:fill="FFFFFF"/>
        <w:spacing w:before="0"/>
        <w:rPr>
          <w:rFonts w:eastAsia="Times New Roman" w:cs="Arial"/>
          <w:color w:val="5A5A5A"/>
          <w:szCs w:val="20"/>
          <w:lang w:eastAsia="fr-FR"/>
        </w:rPr>
      </w:pPr>
      <w:r w:rsidRPr="0008701A">
        <w:rPr>
          <w:rFonts w:eastAsia="Times New Roman" w:cs="Arial"/>
          <w:color w:val="5A5A5A"/>
          <w:szCs w:val="20"/>
          <w:lang w:eastAsia="fr-FR"/>
        </w:rPr>
        <w:t>le travail répétitif</w:t>
      </w:r>
    </w:p>
    <w:p w14:paraId="2B03675E" w14:textId="77777777" w:rsidR="00527DA7" w:rsidRPr="0008701A" w:rsidRDefault="00527DA7" w:rsidP="00527DA7">
      <w:pPr>
        <w:shd w:val="clear" w:color="auto" w:fill="FFFFFF"/>
        <w:spacing w:after="120"/>
        <w:rPr>
          <w:rFonts w:eastAsia="Times New Roman" w:cs="Arial"/>
          <w:color w:val="5A5A5A"/>
          <w:szCs w:val="20"/>
          <w:lang w:eastAsia="fr-FR"/>
        </w:rPr>
      </w:pPr>
      <w:r w:rsidRPr="0008701A">
        <w:rPr>
          <w:rFonts w:eastAsia="Times New Roman" w:cs="Arial"/>
          <w:b/>
          <w:bCs/>
          <w:color w:val="5A5A5A"/>
          <w:szCs w:val="20"/>
          <w:lang w:eastAsia="fr-FR"/>
        </w:rPr>
        <w:t>Que prévoit le dispositif ?</w:t>
      </w:r>
    </w:p>
    <w:p w14:paraId="3CA14E53" w14:textId="77777777" w:rsidR="00527DA7" w:rsidRPr="0008701A" w:rsidRDefault="00527DA7" w:rsidP="00527DA7">
      <w:pPr>
        <w:shd w:val="clear" w:color="auto" w:fill="FFFFFF"/>
        <w:spacing w:before="0"/>
        <w:rPr>
          <w:rFonts w:eastAsia="Times New Roman" w:cs="Arial"/>
          <w:color w:val="5A5A5A"/>
          <w:szCs w:val="20"/>
          <w:lang w:eastAsia="fr-FR"/>
        </w:rPr>
      </w:pPr>
      <w:r w:rsidRPr="0008701A">
        <w:rPr>
          <w:rFonts w:eastAsia="Times New Roman" w:cs="Arial"/>
          <w:color w:val="5A5A5A"/>
          <w:szCs w:val="20"/>
          <w:lang w:eastAsia="fr-FR"/>
        </w:rPr>
        <w:t>Le Compte professionnel de prévention définit des seuils annuels minimums d'exposition pour chacun des six facteurs de risques. L’employeur doit déclarer tout salarié exposé à au moins un facteur qui dépasse le seuil fixé et dont la durée du contrat de travail est supérieure ou égale à un mois.</w:t>
      </w:r>
    </w:p>
    <w:p w14:paraId="1346A371" w14:textId="77777777" w:rsidR="00527DA7" w:rsidRPr="0008701A" w:rsidRDefault="00527DA7" w:rsidP="00527DA7">
      <w:pPr>
        <w:shd w:val="clear" w:color="auto" w:fill="FFFFFF"/>
        <w:rPr>
          <w:rFonts w:eastAsia="Times New Roman" w:cs="Arial"/>
          <w:color w:val="5A5A5A"/>
          <w:szCs w:val="20"/>
          <w:lang w:eastAsia="fr-FR"/>
        </w:rPr>
      </w:pPr>
      <w:r w:rsidRPr="0008701A">
        <w:rPr>
          <w:rFonts w:eastAsia="Times New Roman" w:cs="Arial"/>
          <w:color w:val="5A5A5A"/>
          <w:szCs w:val="20"/>
          <w:lang w:eastAsia="fr-FR"/>
        </w:rPr>
        <w:t>Cette déclaration permet au salarié de bénéficier d'un compte et de cumuler des points. Le Compte professionnel de prévention est ainsi alimenté tout au long de sa carrière, jusqu'à 100 points maximum (non renouvelables) et permet de financer :</w:t>
      </w:r>
    </w:p>
    <w:p w14:paraId="17F8DF00" w14:textId="77777777" w:rsidR="00527DA7" w:rsidRPr="0008701A" w:rsidRDefault="00527DA7" w:rsidP="00527DA7">
      <w:pPr>
        <w:numPr>
          <w:ilvl w:val="0"/>
          <w:numId w:val="6"/>
        </w:numPr>
        <w:shd w:val="clear" w:color="auto" w:fill="FFFFFF"/>
        <w:spacing w:before="0"/>
        <w:rPr>
          <w:rFonts w:eastAsia="Times New Roman" w:cs="Arial"/>
          <w:color w:val="5A5A5A"/>
          <w:szCs w:val="20"/>
          <w:lang w:eastAsia="fr-FR"/>
        </w:rPr>
      </w:pPr>
      <w:r w:rsidRPr="0008701A">
        <w:rPr>
          <w:rFonts w:eastAsia="Times New Roman" w:cs="Arial"/>
          <w:color w:val="5A5A5A"/>
          <w:szCs w:val="20"/>
          <w:lang w:eastAsia="fr-FR"/>
        </w:rPr>
        <w:t>des</w:t>
      </w:r>
      <w:r w:rsidRPr="0008701A">
        <w:rPr>
          <w:rFonts w:eastAsia="Times New Roman" w:cs="Arial"/>
          <w:b/>
          <w:bCs/>
          <w:color w:val="5A5A5A"/>
          <w:szCs w:val="20"/>
          <w:lang w:eastAsia="fr-FR"/>
        </w:rPr>
        <w:t> formations professionnelles</w:t>
      </w:r>
      <w:r w:rsidRPr="0008701A">
        <w:rPr>
          <w:rFonts w:eastAsia="Times New Roman" w:cs="Arial"/>
          <w:color w:val="5A5A5A"/>
          <w:szCs w:val="20"/>
          <w:lang w:eastAsia="fr-FR"/>
        </w:rPr>
        <w:t> pour accéder à un poste moins ou non exposé aux facteurs de risques professionnels concernés par le dispositif</w:t>
      </w:r>
    </w:p>
    <w:p w14:paraId="418FB846" w14:textId="77777777" w:rsidR="00527DA7" w:rsidRPr="0008701A" w:rsidRDefault="00527DA7" w:rsidP="00527DA7">
      <w:pPr>
        <w:numPr>
          <w:ilvl w:val="0"/>
          <w:numId w:val="6"/>
        </w:numPr>
        <w:shd w:val="clear" w:color="auto" w:fill="FFFFFF"/>
        <w:spacing w:before="0"/>
        <w:rPr>
          <w:rFonts w:eastAsia="Times New Roman" w:cs="Arial"/>
          <w:color w:val="5A5A5A"/>
          <w:szCs w:val="20"/>
          <w:lang w:eastAsia="fr-FR"/>
        </w:rPr>
      </w:pPr>
      <w:r w:rsidRPr="0008701A">
        <w:rPr>
          <w:rFonts w:eastAsia="Times New Roman" w:cs="Arial"/>
          <w:color w:val="5A5A5A"/>
          <w:szCs w:val="20"/>
          <w:lang w:eastAsia="fr-FR"/>
        </w:rPr>
        <w:t>des heures non travaillées, c'est-à-dire un </w:t>
      </w:r>
      <w:r w:rsidRPr="0008701A">
        <w:rPr>
          <w:rFonts w:eastAsia="Times New Roman" w:cs="Arial"/>
          <w:b/>
          <w:bCs/>
          <w:color w:val="5A5A5A"/>
          <w:szCs w:val="20"/>
          <w:lang w:eastAsia="fr-FR"/>
        </w:rPr>
        <w:t>travail à temps partiel</w:t>
      </w:r>
      <w:r w:rsidRPr="0008701A">
        <w:rPr>
          <w:rFonts w:eastAsia="Times New Roman" w:cs="Arial"/>
          <w:color w:val="5A5A5A"/>
          <w:szCs w:val="20"/>
          <w:lang w:eastAsia="fr-FR"/>
        </w:rPr>
        <w:t> tout en conservant son salaire</w:t>
      </w:r>
    </w:p>
    <w:p w14:paraId="419D34E3" w14:textId="77777777" w:rsidR="00527DA7" w:rsidRPr="0008701A" w:rsidRDefault="00527DA7" w:rsidP="00527DA7">
      <w:pPr>
        <w:numPr>
          <w:ilvl w:val="0"/>
          <w:numId w:val="6"/>
        </w:numPr>
        <w:shd w:val="clear" w:color="auto" w:fill="FFFFFF"/>
        <w:spacing w:before="0"/>
        <w:rPr>
          <w:rFonts w:eastAsia="Times New Roman" w:cs="Arial"/>
          <w:color w:val="5A5A5A"/>
          <w:szCs w:val="20"/>
          <w:lang w:eastAsia="fr-FR"/>
        </w:rPr>
      </w:pPr>
      <w:r w:rsidRPr="0008701A">
        <w:rPr>
          <w:rFonts w:eastAsia="Times New Roman" w:cs="Arial"/>
          <w:color w:val="5A5A5A"/>
          <w:szCs w:val="20"/>
          <w:lang w:eastAsia="fr-FR"/>
        </w:rPr>
        <w:t>la validation de </w:t>
      </w:r>
      <w:r w:rsidRPr="0008701A">
        <w:rPr>
          <w:rFonts w:eastAsia="Times New Roman" w:cs="Arial"/>
          <w:b/>
          <w:bCs/>
          <w:color w:val="5A5A5A"/>
          <w:szCs w:val="20"/>
          <w:lang w:eastAsia="fr-FR"/>
        </w:rPr>
        <w:t>trimestres d'assurance retraite</w:t>
      </w:r>
      <w:r w:rsidRPr="0008701A">
        <w:rPr>
          <w:rFonts w:eastAsia="Times New Roman" w:cs="Arial"/>
          <w:color w:val="5A5A5A"/>
          <w:szCs w:val="20"/>
          <w:lang w:eastAsia="fr-FR"/>
        </w:rPr>
        <w:t> (majoration de durée d'assurance), dans la limite de 8 trimestres ; cette utilisation peut permettre d'anticiper jusqu'à 2 ans l'âge de départ à la retraite par rapport à l'âge légal.</w:t>
      </w:r>
    </w:p>
    <w:p w14:paraId="4702D20A" w14:textId="77777777" w:rsidR="00527DA7" w:rsidRPr="0008701A" w:rsidRDefault="00527DA7" w:rsidP="00527DA7">
      <w:pPr>
        <w:shd w:val="clear" w:color="auto" w:fill="FFFFFF"/>
        <w:spacing w:after="120"/>
        <w:rPr>
          <w:rFonts w:eastAsia="Times New Roman" w:cs="Arial"/>
          <w:color w:val="5A5A5A"/>
          <w:szCs w:val="20"/>
          <w:lang w:eastAsia="fr-FR"/>
        </w:rPr>
      </w:pPr>
      <w:r w:rsidRPr="0008701A">
        <w:rPr>
          <w:rFonts w:eastAsia="Times New Roman" w:cs="Arial"/>
          <w:color w:val="5A5A5A"/>
          <w:szCs w:val="20"/>
          <w:lang w:eastAsia="fr-FR"/>
        </w:rPr>
        <w:t>Les droits sont ouverts tout au long de la carrière, indépendamment des changements d'employeurs et des périodes de non-emploi. Les points accumulés restent acquis jusqu'à consommation totale, départ à la retraite ou décès du titulaire du compte.</w:t>
      </w:r>
    </w:p>
    <w:p w14:paraId="5240A0D9" w14:textId="77777777" w:rsidR="00527DA7" w:rsidRPr="0008701A" w:rsidRDefault="00527DA7" w:rsidP="00527DA7">
      <w:pPr>
        <w:shd w:val="clear" w:color="auto" w:fill="FFFFFF"/>
        <w:spacing w:after="120"/>
        <w:rPr>
          <w:rFonts w:eastAsia="Times New Roman" w:cs="Arial"/>
          <w:b/>
          <w:bCs/>
          <w:color w:val="5A5A5A"/>
          <w:szCs w:val="20"/>
          <w:lang w:eastAsia="fr-FR"/>
        </w:rPr>
      </w:pPr>
      <w:r w:rsidRPr="0008701A">
        <w:rPr>
          <w:rFonts w:eastAsia="Times New Roman" w:cs="Arial"/>
          <w:b/>
          <w:bCs/>
          <w:color w:val="5A5A5A"/>
          <w:szCs w:val="20"/>
          <w:lang w:eastAsia="fr-FR"/>
        </w:rPr>
        <w:t>Pourquoi ?</w:t>
      </w:r>
    </w:p>
    <w:p w14:paraId="14678F29" w14:textId="77777777" w:rsidR="00527DA7" w:rsidRPr="0008701A" w:rsidRDefault="00527DA7" w:rsidP="00527DA7">
      <w:pPr>
        <w:shd w:val="clear" w:color="auto" w:fill="FFFFFF"/>
        <w:spacing w:before="0"/>
        <w:rPr>
          <w:rFonts w:eastAsia="Times New Roman" w:cs="Arial"/>
          <w:color w:val="5A5A5A"/>
          <w:szCs w:val="20"/>
          <w:lang w:eastAsia="fr-FR"/>
        </w:rPr>
      </w:pPr>
      <w:r w:rsidRPr="0008701A">
        <w:rPr>
          <w:rFonts w:eastAsia="Times New Roman" w:cs="Arial"/>
          <w:b/>
          <w:bCs/>
          <w:color w:val="5A5A5A"/>
          <w:szCs w:val="20"/>
          <w:lang w:eastAsia="fr-FR"/>
        </w:rPr>
        <w:t>Le Compte professionnel de prévention poursuit un double objectif :</w:t>
      </w:r>
    </w:p>
    <w:p w14:paraId="63EBC1B4" w14:textId="77777777" w:rsidR="00527DA7" w:rsidRPr="0008701A" w:rsidRDefault="00527DA7" w:rsidP="00527DA7">
      <w:pPr>
        <w:shd w:val="clear" w:color="auto" w:fill="FFFFFF"/>
        <w:rPr>
          <w:rFonts w:eastAsia="Times New Roman" w:cs="Arial"/>
          <w:color w:val="5A5A5A"/>
          <w:szCs w:val="20"/>
          <w:lang w:eastAsia="fr-FR"/>
        </w:rPr>
      </w:pPr>
      <w:r w:rsidRPr="0008701A">
        <w:rPr>
          <w:rFonts w:eastAsia="Times New Roman" w:cs="Arial"/>
          <w:b/>
          <w:bCs/>
          <w:color w:val="5A5A5A"/>
          <w:szCs w:val="20"/>
          <w:lang w:eastAsia="fr-FR"/>
        </w:rPr>
        <w:t>1/ Contribuer à réduire les effets de l'exposition aux risques en :</w:t>
      </w:r>
    </w:p>
    <w:p w14:paraId="6672FDDD" w14:textId="77777777" w:rsidR="00527DA7" w:rsidRPr="0008701A" w:rsidRDefault="00527DA7" w:rsidP="00527DA7">
      <w:pPr>
        <w:numPr>
          <w:ilvl w:val="0"/>
          <w:numId w:val="7"/>
        </w:numPr>
        <w:shd w:val="clear" w:color="auto" w:fill="FFFFFF"/>
        <w:spacing w:before="0"/>
        <w:rPr>
          <w:rFonts w:eastAsia="Times New Roman" w:cs="Arial"/>
          <w:color w:val="5A5A5A"/>
          <w:szCs w:val="20"/>
          <w:lang w:eastAsia="fr-FR"/>
        </w:rPr>
      </w:pPr>
      <w:r w:rsidRPr="0008701A">
        <w:rPr>
          <w:rFonts w:eastAsia="Times New Roman" w:cs="Arial"/>
          <w:b/>
          <w:bCs/>
          <w:color w:val="5A5A5A"/>
          <w:szCs w:val="20"/>
          <w:lang w:eastAsia="fr-FR"/>
        </w:rPr>
        <w:t>Favorisant la formation</w:t>
      </w:r>
      <w:r w:rsidRPr="0008701A">
        <w:rPr>
          <w:rFonts w:eastAsia="Times New Roman" w:cs="Arial"/>
          <w:color w:val="5A5A5A"/>
          <w:szCs w:val="20"/>
          <w:lang w:eastAsia="fr-FR"/>
        </w:rPr>
        <w:t> : les 20 premiers points acquis sont réservés à la formation professionnelle (sauf cas particuliers). Ainsi, vous pouvez recourir à une formation afin de réduire votre exposition aux facteurs de risques, ou accéder à un emploi non exposé.</w:t>
      </w:r>
    </w:p>
    <w:p w14:paraId="64820191" w14:textId="77777777" w:rsidR="00527DA7" w:rsidRPr="0008701A" w:rsidRDefault="00527DA7" w:rsidP="00527DA7">
      <w:pPr>
        <w:numPr>
          <w:ilvl w:val="0"/>
          <w:numId w:val="7"/>
        </w:numPr>
        <w:shd w:val="clear" w:color="auto" w:fill="FFFFFF"/>
        <w:spacing w:before="0"/>
        <w:rPr>
          <w:rFonts w:eastAsia="Times New Roman" w:cs="Arial"/>
          <w:color w:val="5A5A5A"/>
          <w:szCs w:val="20"/>
          <w:lang w:eastAsia="fr-FR"/>
        </w:rPr>
      </w:pPr>
      <w:r w:rsidRPr="0008701A">
        <w:rPr>
          <w:rFonts w:eastAsia="Times New Roman" w:cs="Arial"/>
          <w:b/>
          <w:bCs/>
          <w:color w:val="5A5A5A"/>
          <w:szCs w:val="20"/>
          <w:lang w:eastAsia="fr-FR"/>
        </w:rPr>
        <w:t>Réduisant le temps d’exposition</w:t>
      </w:r>
      <w:r w:rsidRPr="0008701A">
        <w:rPr>
          <w:rFonts w:eastAsia="Times New Roman" w:cs="Arial"/>
          <w:color w:val="5A5A5A"/>
          <w:szCs w:val="20"/>
          <w:lang w:eastAsia="fr-FR"/>
        </w:rPr>
        <w:t> avec le temps partiel </w:t>
      </w:r>
    </w:p>
    <w:p w14:paraId="6A83024C" w14:textId="77777777" w:rsidR="00527DA7" w:rsidRPr="0008701A" w:rsidRDefault="00527DA7" w:rsidP="00527DA7">
      <w:pPr>
        <w:numPr>
          <w:ilvl w:val="0"/>
          <w:numId w:val="7"/>
        </w:numPr>
        <w:shd w:val="clear" w:color="auto" w:fill="FFFFFF"/>
        <w:spacing w:before="0"/>
        <w:rPr>
          <w:rFonts w:eastAsia="Times New Roman" w:cs="Arial"/>
          <w:color w:val="5A5A5A"/>
          <w:szCs w:val="20"/>
          <w:lang w:eastAsia="fr-FR"/>
        </w:rPr>
      </w:pPr>
      <w:r w:rsidRPr="0008701A">
        <w:rPr>
          <w:rFonts w:eastAsia="Times New Roman" w:cs="Arial"/>
          <w:b/>
          <w:bCs/>
          <w:color w:val="5A5A5A"/>
          <w:szCs w:val="20"/>
          <w:lang w:eastAsia="fr-FR"/>
        </w:rPr>
        <w:t>Incitant l’employeur à mettre en place des mesures de prévention. </w:t>
      </w:r>
      <w:r w:rsidRPr="0008701A">
        <w:rPr>
          <w:rFonts w:eastAsia="Times New Roman" w:cs="Arial"/>
          <w:color w:val="5A5A5A"/>
          <w:szCs w:val="20"/>
          <w:lang w:eastAsia="fr-FR"/>
        </w:rPr>
        <w:t>Ainsi, l'exposition est évaluée après prise en compte des mesures de protection individuelle et collective mises en place dans l'entreprise.</w:t>
      </w:r>
    </w:p>
    <w:p w14:paraId="3EFC09A8" w14:textId="5EA1AFF5" w:rsidR="00527DA7" w:rsidRDefault="00527DA7" w:rsidP="00527DA7">
      <w:pPr>
        <w:shd w:val="clear" w:color="auto" w:fill="FFFFFF"/>
        <w:rPr>
          <w:rFonts w:eastAsia="Times New Roman" w:cs="Arial"/>
          <w:b/>
          <w:bCs/>
          <w:color w:val="5A5A5A"/>
          <w:szCs w:val="20"/>
          <w:lang w:eastAsia="fr-FR"/>
        </w:rPr>
      </w:pPr>
      <w:r w:rsidRPr="0008701A">
        <w:rPr>
          <w:rFonts w:eastAsia="Times New Roman" w:cs="Arial"/>
          <w:b/>
          <w:bCs/>
          <w:color w:val="5A5A5A"/>
          <w:szCs w:val="20"/>
          <w:lang w:eastAsia="fr-FR"/>
        </w:rPr>
        <w:t>2/ Redéfinir les droits à la retraite (durée d’assurance majorée) en prenant en compte les périodes d’exposition aux risques.</w:t>
      </w:r>
    </w:p>
    <w:p w14:paraId="7BE82C9B" w14:textId="77777777" w:rsidR="00527DA7" w:rsidRPr="0008701A" w:rsidRDefault="00527DA7" w:rsidP="00527DA7">
      <w:pPr>
        <w:shd w:val="clear" w:color="auto" w:fill="FFFFFF"/>
        <w:rPr>
          <w:rFonts w:eastAsia="Times New Roman" w:cs="Arial"/>
          <w:b/>
          <w:bCs/>
          <w:color w:val="5A5A5A"/>
          <w:szCs w:val="20"/>
          <w:lang w:eastAsia="fr-FR"/>
        </w:rPr>
      </w:pPr>
    </w:p>
    <w:bookmarkEnd w:id="0"/>
    <w:p w14:paraId="2F0197A7" w14:textId="6D526691" w:rsidR="00527DA7" w:rsidRDefault="00CD718E" w:rsidP="00527DA7">
      <w:pPr>
        <w:spacing w:before="0"/>
        <w:rPr>
          <w:rFonts w:cs="Arial"/>
          <w:b/>
          <w:sz w:val="24"/>
          <w:szCs w:val="28"/>
        </w:rPr>
      </w:pPr>
      <w:r>
        <w:rPr>
          <w:rFonts w:cs="Arial"/>
          <w:b/>
          <w:sz w:val="24"/>
          <w:szCs w:val="28"/>
        </w:rPr>
        <w:t>Réponses</w:t>
      </w:r>
    </w:p>
    <w:p w14:paraId="5F5D6B5C" w14:textId="77777777" w:rsidR="00A54200" w:rsidRPr="0008701A" w:rsidRDefault="00A54200" w:rsidP="00527DA7">
      <w:pPr>
        <w:spacing w:before="0"/>
        <w:rPr>
          <w:rFonts w:cs="Arial"/>
          <w:b/>
          <w:sz w:val="24"/>
          <w:szCs w:val="28"/>
        </w:rPr>
      </w:pPr>
    </w:p>
    <w:p w14:paraId="500653A3" w14:textId="2ABAB9DE" w:rsidR="00527DA7" w:rsidRPr="00310EC7" w:rsidRDefault="00527DA7" w:rsidP="00527DA7">
      <w:pPr>
        <w:pStyle w:val="Paragraphedeliste"/>
        <w:numPr>
          <w:ilvl w:val="0"/>
          <w:numId w:val="9"/>
        </w:numPr>
        <w:spacing w:before="0"/>
        <w:rPr>
          <w:rFonts w:cs="Arial"/>
          <w:bCs/>
          <w:sz w:val="22"/>
          <w:szCs w:val="24"/>
        </w:rPr>
      </w:pPr>
      <w:r w:rsidRPr="00310EC7">
        <w:rPr>
          <w:rFonts w:cs="Arial"/>
          <w:bCs/>
          <w:sz w:val="22"/>
          <w:szCs w:val="24"/>
        </w:rPr>
        <w:t>Quelle est la finalité du C2P ?</w:t>
      </w:r>
    </w:p>
    <w:p w14:paraId="5879483F" w14:textId="1DD6FC11" w:rsidR="00527DA7" w:rsidRPr="00310EC7" w:rsidRDefault="00527DA7" w:rsidP="00527DA7">
      <w:pPr>
        <w:spacing w:before="0"/>
        <w:rPr>
          <w:rFonts w:cs="Arial"/>
          <w:bCs/>
          <w:sz w:val="22"/>
          <w:szCs w:val="24"/>
        </w:rPr>
      </w:pPr>
    </w:p>
    <w:p w14:paraId="5B90E7AC" w14:textId="77777777" w:rsidR="00527DA7" w:rsidRPr="00310EC7" w:rsidRDefault="00527DA7" w:rsidP="00527DA7">
      <w:pPr>
        <w:spacing w:before="0"/>
        <w:rPr>
          <w:rFonts w:cs="Arial"/>
          <w:bCs/>
          <w:sz w:val="22"/>
          <w:szCs w:val="24"/>
        </w:rPr>
      </w:pPr>
    </w:p>
    <w:p w14:paraId="1DC37925" w14:textId="6114A6F8" w:rsidR="00527DA7" w:rsidRPr="00310EC7" w:rsidRDefault="00527DA7" w:rsidP="00527DA7">
      <w:pPr>
        <w:pStyle w:val="Paragraphedeliste"/>
        <w:numPr>
          <w:ilvl w:val="0"/>
          <w:numId w:val="9"/>
        </w:numPr>
        <w:spacing w:before="0"/>
        <w:rPr>
          <w:rFonts w:cs="Arial"/>
          <w:bCs/>
          <w:sz w:val="22"/>
          <w:szCs w:val="24"/>
        </w:rPr>
      </w:pPr>
      <w:r w:rsidRPr="00310EC7">
        <w:rPr>
          <w:rFonts w:cs="Arial"/>
          <w:bCs/>
          <w:sz w:val="22"/>
          <w:szCs w:val="24"/>
        </w:rPr>
        <w:t>Quels sont les salariés concernés ?</w:t>
      </w:r>
    </w:p>
    <w:p w14:paraId="7056711A" w14:textId="5AF82794" w:rsidR="00527DA7" w:rsidRPr="00310EC7" w:rsidRDefault="00527DA7" w:rsidP="00527DA7">
      <w:pPr>
        <w:spacing w:before="0"/>
        <w:rPr>
          <w:rFonts w:cs="Arial"/>
          <w:bCs/>
          <w:sz w:val="22"/>
          <w:szCs w:val="24"/>
        </w:rPr>
      </w:pPr>
    </w:p>
    <w:p w14:paraId="7D132CD5" w14:textId="63ABDFF0" w:rsidR="00527DA7" w:rsidRPr="00310EC7" w:rsidRDefault="00527DA7" w:rsidP="00527DA7">
      <w:pPr>
        <w:spacing w:before="0"/>
        <w:rPr>
          <w:rFonts w:cs="Arial"/>
          <w:bCs/>
          <w:sz w:val="22"/>
          <w:szCs w:val="24"/>
        </w:rPr>
      </w:pPr>
    </w:p>
    <w:p w14:paraId="53BADE11" w14:textId="77777777" w:rsidR="00527DA7" w:rsidRPr="00310EC7" w:rsidRDefault="00527DA7" w:rsidP="00527DA7">
      <w:pPr>
        <w:spacing w:before="0"/>
        <w:rPr>
          <w:rFonts w:cs="Arial"/>
          <w:bCs/>
          <w:sz w:val="22"/>
          <w:szCs w:val="24"/>
        </w:rPr>
      </w:pPr>
    </w:p>
    <w:p w14:paraId="6F0B4D9D" w14:textId="42E610E3" w:rsidR="00527DA7" w:rsidRPr="00310EC7" w:rsidRDefault="00527DA7" w:rsidP="00527DA7">
      <w:pPr>
        <w:pStyle w:val="Paragraphedeliste"/>
        <w:numPr>
          <w:ilvl w:val="0"/>
          <w:numId w:val="9"/>
        </w:numPr>
        <w:spacing w:before="0"/>
        <w:rPr>
          <w:rFonts w:cs="Arial"/>
          <w:bCs/>
          <w:sz w:val="22"/>
          <w:szCs w:val="24"/>
        </w:rPr>
      </w:pPr>
      <w:r w:rsidRPr="00310EC7">
        <w:rPr>
          <w:rFonts w:cs="Arial"/>
          <w:bCs/>
          <w:sz w:val="22"/>
          <w:szCs w:val="24"/>
        </w:rPr>
        <w:t>Quelles sont les modalités de mise en œuvre du C2P ?</w:t>
      </w:r>
    </w:p>
    <w:p w14:paraId="0F229EB9" w14:textId="097F4DBD" w:rsidR="00527DA7" w:rsidRPr="00310EC7" w:rsidRDefault="00527DA7" w:rsidP="00527DA7">
      <w:pPr>
        <w:spacing w:before="0"/>
        <w:rPr>
          <w:rFonts w:cs="Arial"/>
          <w:bCs/>
          <w:sz w:val="22"/>
          <w:szCs w:val="24"/>
        </w:rPr>
      </w:pPr>
    </w:p>
    <w:p w14:paraId="73D60BCC" w14:textId="758F7D87" w:rsidR="00527DA7" w:rsidRPr="00310EC7" w:rsidRDefault="00527DA7" w:rsidP="00527DA7">
      <w:pPr>
        <w:spacing w:before="0"/>
        <w:rPr>
          <w:rFonts w:cs="Arial"/>
          <w:bCs/>
          <w:sz w:val="22"/>
          <w:szCs w:val="24"/>
        </w:rPr>
      </w:pPr>
    </w:p>
    <w:p w14:paraId="1CCF9DF4" w14:textId="77777777" w:rsidR="00527DA7" w:rsidRPr="00310EC7" w:rsidRDefault="00527DA7" w:rsidP="00527DA7">
      <w:pPr>
        <w:spacing w:before="0"/>
        <w:rPr>
          <w:rFonts w:cs="Arial"/>
          <w:bCs/>
          <w:sz w:val="22"/>
          <w:szCs w:val="24"/>
        </w:rPr>
      </w:pPr>
    </w:p>
    <w:p w14:paraId="1FAD83B0" w14:textId="77777777" w:rsidR="00527DA7" w:rsidRPr="00310EC7" w:rsidRDefault="00527DA7" w:rsidP="00527DA7">
      <w:pPr>
        <w:pStyle w:val="Paragraphedeliste"/>
        <w:numPr>
          <w:ilvl w:val="0"/>
          <w:numId w:val="9"/>
        </w:numPr>
        <w:spacing w:before="0"/>
        <w:rPr>
          <w:rFonts w:cs="Arial"/>
          <w:bCs/>
          <w:sz w:val="22"/>
          <w:szCs w:val="24"/>
        </w:rPr>
      </w:pPr>
      <w:r w:rsidRPr="00310EC7">
        <w:rPr>
          <w:rFonts w:cs="Arial"/>
          <w:bCs/>
          <w:sz w:val="22"/>
          <w:szCs w:val="24"/>
        </w:rPr>
        <w:t>À quoi peuvent servir les droits acquis ?</w:t>
      </w:r>
    </w:p>
    <w:p w14:paraId="1CD24056" w14:textId="77777777" w:rsidR="00082A0B" w:rsidRPr="00310EC7" w:rsidRDefault="00082A0B" w:rsidP="00527DA7">
      <w:pPr>
        <w:rPr>
          <w:sz w:val="22"/>
          <w:szCs w:val="24"/>
        </w:rPr>
      </w:pPr>
    </w:p>
    <w:sectPr w:rsidR="00082A0B" w:rsidRPr="00310EC7" w:rsidSect="00A54200">
      <w:pgSz w:w="11906" w:h="16838"/>
      <w:pgMar w:top="567"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C4B49"/>
    <w:multiLevelType w:val="multilevel"/>
    <w:tmpl w:val="C8C2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A3C1C"/>
    <w:multiLevelType w:val="hybridMultilevel"/>
    <w:tmpl w:val="8D28AB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D8E08F7"/>
    <w:multiLevelType w:val="hybridMultilevel"/>
    <w:tmpl w:val="28F0ECD6"/>
    <w:lvl w:ilvl="0" w:tplc="EE6AED2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AB3ECA"/>
    <w:multiLevelType w:val="hybridMultilevel"/>
    <w:tmpl w:val="23BC58E2"/>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BCB2A50"/>
    <w:multiLevelType w:val="multilevel"/>
    <w:tmpl w:val="1900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6D248D"/>
    <w:multiLevelType w:val="hybridMultilevel"/>
    <w:tmpl w:val="CD023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33113C"/>
    <w:multiLevelType w:val="hybridMultilevel"/>
    <w:tmpl w:val="98C8BC12"/>
    <w:lvl w:ilvl="0" w:tplc="941ED7E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B83324"/>
    <w:multiLevelType w:val="multilevel"/>
    <w:tmpl w:val="72A2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3B66CE"/>
    <w:multiLevelType w:val="hybridMultilevel"/>
    <w:tmpl w:val="7BFE290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580670792">
    <w:abstractNumId w:val="1"/>
  </w:num>
  <w:num w:numId="2" w16cid:durableId="457920198">
    <w:abstractNumId w:val="5"/>
  </w:num>
  <w:num w:numId="3" w16cid:durableId="1529686183">
    <w:abstractNumId w:val="8"/>
  </w:num>
  <w:num w:numId="4" w16cid:durableId="417479454">
    <w:abstractNumId w:val="3"/>
  </w:num>
  <w:num w:numId="5" w16cid:durableId="348802854">
    <w:abstractNumId w:val="7"/>
  </w:num>
  <w:num w:numId="6" w16cid:durableId="604657899">
    <w:abstractNumId w:val="0"/>
  </w:num>
  <w:num w:numId="7" w16cid:durableId="1774978691">
    <w:abstractNumId w:val="4"/>
  </w:num>
  <w:num w:numId="8" w16cid:durableId="164905875">
    <w:abstractNumId w:val="2"/>
  </w:num>
  <w:num w:numId="9" w16cid:durableId="1785339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0B"/>
    <w:rsid w:val="00082A0B"/>
    <w:rsid w:val="001B014B"/>
    <w:rsid w:val="001B6C7C"/>
    <w:rsid w:val="00310EC7"/>
    <w:rsid w:val="00527DA7"/>
    <w:rsid w:val="006D7555"/>
    <w:rsid w:val="00744B11"/>
    <w:rsid w:val="007B5F8F"/>
    <w:rsid w:val="00A13A78"/>
    <w:rsid w:val="00A54200"/>
    <w:rsid w:val="00CD718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A404"/>
  <w15:chartTrackingRefBased/>
  <w15:docId w15:val="{1A6F9DD8-B94B-4589-9076-5C8D3975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A0B"/>
    <w:pPr>
      <w:spacing w:before="120" w:after="0" w:line="240" w:lineRule="auto"/>
      <w:jc w:val="both"/>
    </w:pPr>
    <w:rPr>
      <w:rFonts w:ascii="Arial" w:eastAsia="Calibri" w:hAnsi="Arial" w:cs="Times New Roman"/>
      <w:sz w:val="20"/>
    </w:rPr>
  </w:style>
  <w:style w:type="paragraph" w:styleId="Titre3">
    <w:name w:val="heading 3"/>
    <w:basedOn w:val="Paragraphedeliste"/>
    <w:next w:val="Normal"/>
    <w:link w:val="Titre3Car"/>
    <w:uiPriority w:val="9"/>
    <w:unhideWhenUsed/>
    <w:qFormat/>
    <w:rsid w:val="00082A0B"/>
    <w:pPr>
      <w:spacing w:before="240"/>
      <w:ind w:left="0"/>
      <w:outlineLvl w:val="2"/>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82A0B"/>
    <w:rPr>
      <w:rFonts w:ascii="Arial" w:eastAsia="Calibri" w:hAnsi="Arial" w:cs="Times New Roman"/>
      <w:b/>
      <w:sz w:val="24"/>
      <w:szCs w:val="24"/>
    </w:rPr>
  </w:style>
  <w:style w:type="paragraph" w:styleId="Paragraphedeliste">
    <w:name w:val="List Paragraph"/>
    <w:basedOn w:val="Normal"/>
    <w:uiPriority w:val="34"/>
    <w:qFormat/>
    <w:rsid w:val="00082A0B"/>
    <w:pPr>
      <w:ind w:left="720"/>
      <w:contextualSpacing/>
    </w:pPr>
  </w:style>
  <w:style w:type="table" w:styleId="Grilledutableau">
    <w:name w:val="Table Grid"/>
    <w:basedOn w:val="TableauNormal"/>
    <w:uiPriority w:val="59"/>
    <w:rsid w:val="00082A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533</Words>
  <Characters>2935</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2020-10-22T21:38:00Z</dcterms:created>
  <dcterms:modified xsi:type="dcterms:W3CDTF">2024-08-31T21:02:00Z</dcterms:modified>
</cp:coreProperties>
</file>