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999" w:type="dxa"/>
        <w:tblInd w:w="-1" w:type="dxa"/>
        <w:shd w:val="clear" w:color="auto" w:fill="92D050"/>
        <w:tblLayout w:type="fixed"/>
        <w:tblLook w:val="04A0" w:firstRow="1" w:lastRow="0" w:firstColumn="1" w:lastColumn="0" w:noHBand="0" w:noVBand="1"/>
      </w:tblPr>
      <w:tblGrid>
        <w:gridCol w:w="1556"/>
        <w:gridCol w:w="6662"/>
        <w:gridCol w:w="1781"/>
      </w:tblGrid>
      <w:tr w:rsidR="00E243E5" w:rsidRPr="00E243E5" w14:paraId="14220D4A" w14:textId="77777777" w:rsidTr="00B76CEC">
        <w:trPr>
          <w:trHeight w:val="227"/>
        </w:trPr>
        <w:tc>
          <w:tcPr>
            <w:tcW w:w="8218" w:type="dxa"/>
            <w:gridSpan w:val="2"/>
            <w:shd w:val="clear" w:color="auto" w:fill="92D050"/>
            <w:vAlign w:val="center"/>
          </w:tcPr>
          <w:p w14:paraId="1D25C78A" w14:textId="77777777" w:rsidR="00E243E5" w:rsidRPr="00E243E5" w:rsidRDefault="00E243E5" w:rsidP="00B76CEC">
            <w:pPr>
              <w:pStyle w:val="Titre3"/>
              <w:numPr>
                <w:ilvl w:val="0"/>
                <w:numId w:val="0"/>
              </w:numPr>
              <w:jc w:val="center"/>
              <w:rPr>
                <w:rFonts w:eastAsia="Calibri"/>
                <w:color w:val="auto"/>
                <w:sz w:val="26"/>
              </w:rPr>
            </w:pPr>
            <w:r w:rsidRPr="00E243E5">
              <w:rPr>
                <w:color w:val="auto"/>
                <w:sz w:val="28"/>
                <w:szCs w:val="32"/>
              </w:rPr>
              <w:t xml:space="preserve">Mission 1 – </w:t>
            </w:r>
            <w:r w:rsidRPr="00E243E5">
              <w:rPr>
                <w:rFonts w:eastAsia="Calibri"/>
                <w:color w:val="auto"/>
                <w:sz w:val="26"/>
              </w:rPr>
              <w:t>Identifier les risques et les réglementations</w:t>
            </w:r>
          </w:p>
          <w:p w14:paraId="4D64B79F" w14:textId="77777777" w:rsidR="00E243E5" w:rsidRPr="00E243E5" w:rsidRDefault="00E243E5" w:rsidP="00B76CEC">
            <w:pPr>
              <w:jc w:val="center"/>
              <w:rPr>
                <w:rFonts w:ascii="Arial" w:hAnsi="Arial" w:cs="Arial"/>
                <w:lang w:eastAsia="fr-FR"/>
              </w:rPr>
            </w:pPr>
            <w:r w:rsidRPr="00E243E5">
              <w:rPr>
                <w:rFonts w:ascii="Arial" w:hAnsi="Arial" w:cs="Arial"/>
                <w:i/>
                <w:iCs/>
                <w:noProof/>
              </w:rPr>
              <w:t>Mission professionnelle conçue par Evelyne Chapon</w:t>
            </w:r>
          </w:p>
        </w:tc>
        <w:tc>
          <w:tcPr>
            <w:tcW w:w="1781" w:type="dxa"/>
            <w:shd w:val="clear" w:color="auto" w:fill="92D050"/>
          </w:tcPr>
          <w:p w14:paraId="2BE53B56" w14:textId="77777777" w:rsidR="00E243E5" w:rsidRPr="00E243E5" w:rsidRDefault="00E243E5" w:rsidP="00B76CEC">
            <w:pPr>
              <w:pStyle w:val="Titre3"/>
              <w:numPr>
                <w:ilvl w:val="0"/>
                <w:numId w:val="0"/>
              </w:numPr>
              <w:spacing w:after="0"/>
              <w:rPr>
                <w:sz w:val="28"/>
              </w:rPr>
            </w:pPr>
            <w:r w:rsidRPr="00E243E5">
              <w:rPr>
                <w:noProof/>
              </w:rPr>
              <w:drawing>
                <wp:inline distT="0" distB="0" distL="0" distR="0" wp14:anchorId="70CEB28D" wp14:editId="44A4CC40">
                  <wp:extent cx="1018845" cy="648000"/>
                  <wp:effectExtent l="19050" t="19050" r="10160" b="19050"/>
                  <wp:docPr id="1567128154" name="Image 1567128154" descr="Une image contenant extérieur,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34D217.tmp"/>
                          <pic:cNvPicPr/>
                        </pic:nvPicPr>
                        <pic:blipFill rotWithShape="1">
                          <a:blip r:embed="rId5" cstate="print">
                            <a:extLst>
                              <a:ext uri="{28A0092B-C50C-407E-A947-70E740481C1C}">
                                <a14:useLocalDpi xmlns:a14="http://schemas.microsoft.com/office/drawing/2010/main" val="0"/>
                              </a:ext>
                            </a:extLst>
                          </a:blip>
                          <a:srcRect l="1462" t="1554" r="648" b="2172"/>
                          <a:stretch/>
                        </pic:blipFill>
                        <pic:spPr bwMode="auto">
                          <a:xfrm>
                            <a:off x="0" y="0"/>
                            <a:ext cx="1018845" cy="648000"/>
                          </a:xfrm>
                          <a:prstGeom prst="rect">
                            <a:avLst/>
                          </a:prstGeom>
                          <a:ln w="12700" cap="flat" cmpd="sng" algn="ctr">
                            <a:solidFill>
                              <a:srgbClr val="44546A">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E243E5" w:rsidRPr="00E243E5" w14:paraId="30E2B9EE" w14:textId="77777777" w:rsidTr="00B76CEC">
        <w:trPr>
          <w:trHeight w:val="504"/>
        </w:trPr>
        <w:tc>
          <w:tcPr>
            <w:tcW w:w="1556" w:type="dxa"/>
            <w:shd w:val="clear" w:color="auto" w:fill="92D050"/>
            <w:vAlign w:val="center"/>
          </w:tcPr>
          <w:p w14:paraId="79648873" w14:textId="77777777" w:rsidR="00E243E5" w:rsidRPr="00E243E5" w:rsidRDefault="00E243E5" w:rsidP="00B76CEC">
            <w:pPr>
              <w:rPr>
                <w:rFonts w:ascii="Arial" w:hAnsi="Arial" w:cs="Arial"/>
                <w:bCs/>
                <w:iCs/>
                <w:color w:val="000000" w:themeColor="text1"/>
              </w:rPr>
            </w:pPr>
            <w:r w:rsidRPr="00E243E5">
              <w:rPr>
                <w:rFonts w:ascii="Arial" w:hAnsi="Arial" w:cs="Arial"/>
                <w:bCs/>
                <w:iCs/>
                <w:color w:val="000000" w:themeColor="text1"/>
              </w:rPr>
              <w:t xml:space="preserve">Durée : 1 h 30’  </w:t>
            </w:r>
          </w:p>
        </w:tc>
        <w:tc>
          <w:tcPr>
            <w:tcW w:w="6662" w:type="dxa"/>
            <w:shd w:val="clear" w:color="auto" w:fill="92D050"/>
            <w:vAlign w:val="center"/>
          </w:tcPr>
          <w:p w14:paraId="20D3A94D" w14:textId="77777777" w:rsidR="00E243E5" w:rsidRPr="00E243E5" w:rsidRDefault="00E243E5" w:rsidP="00B76CEC">
            <w:pPr>
              <w:jc w:val="center"/>
              <w:rPr>
                <w:rFonts w:ascii="Arial" w:hAnsi="Arial" w:cs="Arial"/>
                <w:color w:val="000000" w:themeColor="text1"/>
              </w:rPr>
            </w:pPr>
            <w:r w:rsidRPr="00E243E5">
              <w:rPr>
                <w:rFonts w:ascii="Arial" w:hAnsi="Arial" w:cs="Arial"/>
                <w:i/>
                <w:noProof/>
              </w:rPr>
              <w:drawing>
                <wp:inline distT="0" distB="0" distL="0" distR="0" wp14:anchorId="013C8500" wp14:editId="09C70B00">
                  <wp:extent cx="325755" cy="325755"/>
                  <wp:effectExtent l="0" t="0" r="0" b="0"/>
                  <wp:docPr id="1576779068" name="Graphique 1576779068" descr="Homme avec un remplissage uni"/>
                  <wp:cNvGraphicFramePr/>
                  <a:graphic xmlns:a="http://schemas.openxmlformats.org/drawingml/2006/main">
                    <a:graphicData uri="http://schemas.openxmlformats.org/drawingml/2006/picture">
                      <pic:pic xmlns:pic="http://schemas.openxmlformats.org/drawingml/2006/picture">
                        <pic:nvPicPr>
                          <pic:cNvPr id="567407418" name="Graphique 1" descr="Homme avec un remplissage uni"/>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23850" cy="323850"/>
                          </a:xfrm>
                          <a:prstGeom prst="rect">
                            <a:avLst/>
                          </a:prstGeom>
                        </pic:spPr>
                      </pic:pic>
                    </a:graphicData>
                  </a:graphic>
                </wp:inline>
              </w:drawing>
            </w:r>
            <w:r w:rsidRPr="00E243E5">
              <w:rPr>
                <w:rFonts w:ascii="Arial" w:hAnsi="Arial" w:cs="Arial"/>
                <w:iCs/>
              </w:rPr>
              <w:t>ou</w:t>
            </w:r>
            <w:r w:rsidRPr="00E243E5">
              <w:rPr>
                <w:rFonts w:ascii="Arial" w:hAnsi="Arial" w:cs="Arial"/>
                <w:i/>
              </w:rPr>
              <w:t xml:space="preserve"> </w:t>
            </w:r>
            <w:r w:rsidRPr="00E243E5">
              <w:rPr>
                <w:rFonts w:ascii="Arial" w:hAnsi="Arial" w:cs="Arial"/>
                <w:i/>
                <w:noProof/>
              </w:rPr>
              <w:drawing>
                <wp:inline distT="0" distB="0" distL="0" distR="0" wp14:anchorId="33FDA2BE" wp14:editId="24592AA7">
                  <wp:extent cx="365760" cy="365760"/>
                  <wp:effectExtent l="0" t="0" r="0" b="0"/>
                  <wp:docPr id="55753472" name="Graphique 55753472" descr="Deux hommes avec un remplissage uni"/>
                  <wp:cNvGraphicFramePr/>
                  <a:graphic xmlns:a="http://schemas.openxmlformats.org/drawingml/2006/main">
                    <a:graphicData uri="http://schemas.openxmlformats.org/drawingml/2006/picture">
                      <pic:pic xmlns:pic="http://schemas.openxmlformats.org/drawingml/2006/picture">
                        <pic:nvPicPr>
                          <pic:cNvPr id="594676537" name="Graphique 2" descr="Deux hommes avec un remplissage uni"/>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59410" cy="359410"/>
                          </a:xfrm>
                          <a:prstGeom prst="rect">
                            <a:avLst/>
                          </a:prstGeom>
                        </pic:spPr>
                      </pic:pic>
                    </a:graphicData>
                  </a:graphic>
                </wp:inline>
              </w:drawing>
            </w:r>
          </w:p>
        </w:tc>
        <w:tc>
          <w:tcPr>
            <w:tcW w:w="1781" w:type="dxa"/>
            <w:shd w:val="clear" w:color="auto" w:fill="92D050"/>
            <w:vAlign w:val="center"/>
          </w:tcPr>
          <w:p w14:paraId="7312BCD2" w14:textId="77777777" w:rsidR="00E243E5" w:rsidRPr="00E243E5" w:rsidRDefault="00E243E5" w:rsidP="00B76CEC">
            <w:pPr>
              <w:jc w:val="center"/>
              <w:rPr>
                <w:rFonts w:ascii="Arial" w:hAnsi="Arial" w:cs="Arial"/>
                <w:color w:val="000000" w:themeColor="text1"/>
              </w:rPr>
            </w:pPr>
            <w:r w:rsidRPr="00E243E5">
              <w:rPr>
                <w:rFonts w:ascii="Arial" w:hAnsi="Arial" w:cs="Arial"/>
                <w:color w:val="000000" w:themeColor="text1"/>
              </w:rPr>
              <w:t>Source</w:t>
            </w:r>
          </w:p>
        </w:tc>
      </w:tr>
    </w:tbl>
    <w:p w14:paraId="050399D6" w14:textId="77777777" w:rsidR="00E243E5" w:rsidRPr="00E243E5" w:rsidRDefault="00E243E5" w:rsidP="00E243E5">
      <w:pPr>
        <w:pStyle w:val="Titre3"/>
        <w:numPr>
          <w:ilvl w:val="0"/>
          <w:numId w:val="0"/>
        </w:numPr>
        <w:spacing w:before="120"/>
        <w:jc w:val="left"/>
        <w:rPr>
          <w:noProof/>
          <w:szCs w:val="24"/>
        </w:rPr>
      </w:pPr>
      <w:r w:rsidRPr="00E243E5">
        <w:rPr>
          <w:noProof/>
          <w:szCs w:val="24"/>
        </w:rPr>
        <w:t>Contexte professionnel</w:t>
      </w:r>
    </w:p>
    <w:p w14:paraId="763146F5" w14:textId="77777777" w:rsidR="00E243E5" w:rsidRPr="00E243E5" w:rsidRDefault="00E243E5" w:rsidP="00E243E5">
      <w:pPr>
        <w:autoSpaceDE w:val="0"/>
        <w:autoSpaceDN w:val="0"/>
        <w:adjustRightInd w:val="0"/>
        <w:spacing w:before="60" w:after="60" w:line="240" w:lineRule="auto"/>
        <w:jc w:val="both"/>
        <w:rPr>
          <w:rFonts w:ascii="Arial" w:eastAsia="Calibri" w:hAnsi="Arial" w:cs="Arial"/>
          <w:sz w:val="20"/>
          <w:szCs w:val="20"/>
        </w:rPr>
      </w:pPr>
      <w:r w:rsidRPr="00E243E5">
        <w:rPr>
          <w:rFonts w:ascii="Arial" w:eastAsia="Calibri" w:hAnsi="Arial" w:cs="Arial"/>
          <w:color w:val="000000"/>
          <w:sz w:val="20"/>
          <w:szCs w:val="20"/>
        </w:rPr>
        <w:t xml:space="preserve">La société Charvin SA est une entreprise de maçonnerie et de travaux publics (BTP) dirigée par M. Charvin. </w:t>
      </w:r>
      <w:r w:rsidRPr="00E243E5">
        <w:rPr>
          <w:rFonts w:ascii="Arial" w:eastAsia="Calibri" w:hAnsi="Arial" w:cs="Arial"/>
          <w:sz w:val="20"/>
          <w:szCs w:val="20"/>
        </w:rPr>
        <w:t xml:space="preserve">Dans le cadre de son activité l'entreprise exploite 2 gravières. Une sur l’Isère et une seconde sur le lit principal du Fier (un torrent qui descend des Aravis et passe par Annecy) au bas de Dingy-Saint-Clair. </w:t>
      </w:r>
    </w:p>
    <w:p w14:paraId="5B7C2940" w14:textId="77777777" w:rsidR="00E243E5" w:rsidRPr="00E243E5" w:rsidRDefault="00E243E5" w:rsidP="00E243E5">
      <w:pPr>
        <w:autoSpaceDE w:val="0"/>
        <w:autoSpaceDN w:val="0"/>
        <w:adjustRightInd w:val="0"/>
        <w:spacing w:before="60" w:after="60" w:line="240" w:lineRule="auto"/>
        <w:jc w:val="both"/>
        <w:rPr>
          <w:rFonts w:ascii="Arial" w:hAnsi="Arial" w:cs="Arial"/>
          <w:sz w:val="20"/>
          <w:szCs w:val="20"/>
          <w:lang w:eastAsia="fr-FR"/>
        </w:rPr>
      </w:pPr>
      <w:r w:rsidRPr="00E243E5">
        <w:rPr>
          <w:rFonts w:ascii="Arial" w:hAnsi="Arial" w:cs="Arial"/>
          <w:sz w:val="20"/>
          <w:szCs w:val="20"/>
          <w:lang w:eastAsia="fr-FR"/>
        </w:rPr>
        <w:t>Elle extrait, du lit du fleuve, du gravier et des pierres qu’elle transforme en sable à l’aide d’un concasseur. Ces matériaux sont utilisés par la société ou revendus à d’autres entreprises de BTP. Le site est également équipé d’un entrepôt qui sert à stocker du matériel et des consommables (huile, essence, gasoil…) utilisés par les engins mécaniques.</w:t>
      </w:r>
    </w:p>
    <w:p w14:paraId="45476D04" w14:textId="77777777" w:rsidR="00E243E5" w:rsidRPr="00E243E5" w:rsidRDefault="00E243E5" w:rsidP="00E243E5">
      <w:pPr>
        <w:spacing w:before="120" w:after="60" w:line="240" w:lineRule="auto"/>
        <w:jc w:val="both"/>
        <w:rPr>
          <w:rFonts w:ascii="Arial" w:eastAsia="Calibri" w:hAnsi="Arial" w:cs="Arial"/>
          <w:sz w:val="20"/>
          <w:szCs w:val="20"/>
        </w:rPr>
      </w:pPr>
      <w:r w:rsidRPr="00E243E5">
        <w:rPr>
          <w:rFonts w:ascii="Arial" w:eastAsia="Calibri" w:hAnsi="Arial" w:cs="Arial"/>
          <w:sz w:val="20"/>
          <w:szCs w:val="20"/>
        </w:rPr>
        <w:t>Vous êtes stagiaire dans l’entreprise et Annick, attachée de gestion, vous demande d’évaluer les risques environnementaux de l’entreprise.</w:t>
      </w:r>
    </w:p>
    <w:p w14:paraId="602E1A74" w14:textId="77777777" w:rsidR="00E243E5" w:rsidRPr="00E243E5" w:rsidRDefault="00E243E5" w:rsidP="00E243E5">
      <w:pPr>
        <w:spacing w:before="240" w:after="120" w:line="240" w:lineRule="auto"/>
        <w:jc w:val="both"/>
        <w:rPr>
          <w:rFonts w:ascii="Arial" w:eastAsia="Calibri" w:hAnsi="Arial" w:cs="Arial"/>
          <w:b/>
          <w:sz w:val="24"/>
        </w:rPr>
      </w:pPr>
      <w:r w:rsidRPr="00E243E5">
        <w:rPr>
          <w:rFonts w:ascii="Arial" w:eastAsia="Calibri" w:hAnsi="Arial" w:cs="Arial"/>
          <w:b/>
          <w:sz w:val="24"/>
        </w:rPr>
        <w:t>Travail à faire</w:t>
      </w:r>
    </w:p>
    <w:p w14:paraId="63B9B279" w14:textId="77777777" w:rsidR="00E243E5" w:rsidRPr="00E243E5" w:rsidRDefault="00E243E5" w:rsidP="00E243E5">
      <w:pPr>
        <w:numPr>
          <w:ilvl w:val="0"/>
          <w:numId w:val="2"/>
        </w:numPr>
        <w:spacing w:before="120" w:after="0" w:line="240" w:lineRule="auto"/>
        <w:ind w:left="360"/>
        <w:contextualSpacing/>
        <w:jc w:val="both"/>
        <w:rPr>
          <w:rFonts w:ascii="Arial" w:eastAsia="Calibri" w:hAnsi="Arial" w:cs="Arial"/>
          <w:sz w:val="20"/>
          <w:szCs w:val="20"/>
        </w:rPr>
      </w:pPr>
      <w:r w:rsidRPr="00E243E5">
        <w:rPr>
          <w:rFonts w:ascii="Arial" w:eastAsia="Calibri" w:hAnsi="Arial" w:cs="Arial"/>
          <w:sz w:val="20"/>
          <w:szCs w:val="20"/>
        </w:rPr>
        <w:t>Á partir du plan de prévention des risques (</w:t>
      </w:r>
      <w:r w:rsidRPr="00E243E5">
        <w:rPr>
          <w:rFonts w:ascii="Arial" w:eastAsia="Calibri" w:hAnsi="Arial" w:cs="Arial"/>
          <w:b/>
          <w:bCs/>
          <w:sz w:val="20"/>
          <w:szCs w:val="20"/>
        </w:rPr>
        <w:t>document 1</w:t>
      </w:r>
      <w:r w:rsidRPr="00E243E5">
        <w:rPr>
          <w:rFonts w:ascii="Arial" w:eastAsia="Calibri" w:hAnsi="Arial" w:cs="Arial"/>
          <w:sz w:val="20"/>
          <w:szCs w:val="20"/>
        </w:rPr>
        <w:t xml:space="preserve">) et de vos connaissances, expliquez quels sont les risques liés à l’exploitation de la gravière située au bord du Fier à Dingy-Saint-Clair. </w:t>
      </w:r>
    </w:p>
    <w:p w14:paraId="6600C018" w14:textId="77777777" w:rsidR="00E243E5" w:rsidRPr="00E243E5" w:rsidRDefault="00E243E5" w:rsidP="00E243E5">
      <w:pPr>
        <w:numPr>
          <w:ilvl w:val="0"/>
          <w:numId w:val="2"/>
        </w:numPr>
        <w:spacing w:before="120" w:after="0" w:line="240" w:lineRule="auto"/>
        <w:ind w:left="360"/>
        <w:contextualSpacing/>
        <w:jc w:val="both"/>
        <w:rPr>
          <w:rFonts w:ascii="Arial" w:eastAsia="Calibri" w:hAnsi="Arial" w:cs="Arial"/>
          <w:sz w:val="20"/>
          <w:szCs w:val="20"/>
        </w:rPr>
      </w:pPr>
      <w:r w:rsidRPr="00E243E5">
        <w:rPr>
          <w:rFonts w:ascii="Arial" w:eastAsia="Calibri" w:hAnsi="Arial" w:cs="Arial"/>
          <w:sz w:val="20"/>
          <w:szCs w:val="20"/>
        </w:rPr>
        <w:t>Le dépôt pétrolier de Vovray est proche de la ZAC où se situe la gravière. Comment s’organise la prévention des risques à proximité de ce dépôt ? (</w:t>
      </w:r>
      <w:r w:rsidRPr="00E243E5">
        <w:rPr>
          <w:rFonts w:ascii="Arial" w:eastAsia="Calibri" w:hAnsi="Arial" w:cs="Arial"/>
          <w:b/>
          <w:bCs/>
          <w:sz w:val="20"/>
          <w:szCs w:val="20"/>
        </w:rPr>
        <w:t xml:space="preserve">documents 2 </w:t>
      </w:r>
      <w:r w:rsidRPr="00E243E5">
        <w:rPr>
          <w:rFonts w:ascii="Arial" w:eastAsia="Calibri" w:hAnsi="Arial" w:cs="Arial"/>
          <w:sz w:val="20"/>
          <w:szCs w:val="20"/>
        </w:rPr>
        <w:t>et</w:t>
      </w:r>
      <w:r w:rsidRPr="00E243E5">
        <w:rPr>
          <w:rFonts w:ascii="Arial" w:eastAsia="Calibri" w:hAnsi="Arial" w:cs="Arial"/>
          <w:b/>
          <w:bCs/>
          <w:sz w:val="20"/>
          <w:szCs w:val="20"/>
        </w:rPr>
        <w:t xml:space="preserve"> 3</w:t>
      </w:r>
      <w:r w:rsidRPr="00E243E5">
        <w:rPr>
          <w:rFonts w:ascii="Arial" w:eastAsia="Calibri" w:hAnsi="Arial" w:cs="Arial"/>
          <w:sz w:val="20"/>
          <w:szCs w:val="20"/>
        </w:rPr>
        <w:t xml:space="preserve">) </w:t>
      </w:r>
    </w:p>
    <w:p w14:paraId="45D64763" w14:textId="77777777" w:rsidR="00E243E5" w:rsidRPr="00E243E5" w:rsidRDefault="00E243E5" w:rsidP="00E243E5">
      <w:pPr>
        <w:numPr>
          <w:ilvl w:val="0"/>
          <w:numId w:val="2"/>
        </w:numPr>
        <w:spacing w:before="120" w:after="0" w:line="240" w:lineRule="auto"/>
        <w:ind w:left="360"/>
        <w:contextualSpacing/>
        <w:jc w:val="both"/>
        <w:rPr>
          <w:rFonts w:ascii="Arial" w:eastAsia="Calibri" w:hAnsi="Arial" w:cs="Arial"/>
          <w:sz w:val="20"/>
          <w:szCs w:val="20"/>
        </w:rPr>
      </w:pPr>
      <w:r w:rsidRPr="00E243E5">
        <w:rPr>
          <w:rFonts w:ascii="Arial" w:eastAsia="Calibri" w:hAnsi="Arial" w:cs="Arial"/>
          <w:sz w:val="20"/>
          <w:szCs w:val="20"/>
        </w:rPr>
        <w:t xml:space="preserve">Parmi les différents risques énoncés dans le </w:t>
      </w:r>
      <w:r w:rsidRPr="00E243E5">
        <w:rPr>
          <w:rFonts w:ascii="Arial" w:eastAsia="Calibri" w:hAnsi="Arial" w:cs="Arial"/>
          <w:b/>
          <w:bCs/>
          <w:sz w:val="20"/>
          <w:szCs w:val="20"/>
        </w:rPr>
        <w:t>travail 1</w:t>
      </w:r>
      <w:r w:rsidRPr="00E243E5">
        <w:rPr>
          <w:rFonts w:ascii="Arial" w:eastAsia="Calibri" w:hAnsi="Arial" w:cs="Arial"/>
          <w:sz w:val="20"/>
          <w:szCs w:val="20"/>
        </w:rPr>
        <w:t>, établissez une typologie des risques environnementaux liés à l’activité de l’entreprise Charvin SA et justifiez-les.</w:t>
      </w:r>
    </w:p>
    <w:p w14:paraId="487D85AB" w14:textId="77777777" w:rsidR="00E243E5" w:rsidRPr="00E243E5" w:rsidRDefault="00E243E5" w:rsidP="00E243E5">
      <w:pPr>
        <w:spacing w:before="120" w:after="0" w:line="240" w:lineRule="auto"/>
        <w:ind w:left="360"/>
        <w:jc w:val="both"/>
        <w:rPr>
          <w:rFonts w:ascii="Arial" w:eastAsia="Calibri" w:hAnsi="Arial" w:cs="Arial"/>
          <w:color w:val="0000FF"/>
          <w:sz w:val="20"/>
          <w:szCs w:val="20"/>
          <w:u w:val="single"/>
        </w:rPr>
      </w:pPr>
      <w:r w:rsidRPr="00E243E5">
        <w:rPr>
          <w:rFonts w:ascii="Arial" w:eastAsia="Calibri" w:hAnsi="Arial" w:cs="Arial"/>
          <w:sz w:val="20"/>
          <w:szCs w:val="20"/>
        </w:rPr>
        <w:t xml:space="preserve">En raison de l’évolution de la réglementation, Annick a organisé une veille informationnelle, elle a abonné la société au site </w:t>
      </w:r>
      <w:hyperlink r:id="rId10" w:history="1">
        <w:r w:rsidRPr="00E243E5">
          <w:rPr>
            <w:rStyle w:val="Lienhypertexte"/>
            <w:rFonts w:ascii="Arial" w:eastAsia="Calibri" w:hAnsi="Arial" w:cs="Arial"/>
            <w:sz w:val="20"/>
            <w:szCs w:val="20"/>
          </w:rPr>
          <w:t>www.environnement-magazine.fr</w:t>
        </w:r>
      </w:hyperlink>
      <w:r w:rsidRPr="00E243E5">
        <w:rPr>
          <w:rFonts w:ascii="Arial" w:eastAsia="Calibri" w:hAnsi="Arial" w:cs="Arial"/>
          <w:sz w:val="20"/>
          <w:szCs w:val="20"/>
        </w:rPr>
        <w:t xml:space="preserve"> et à la newsletter du site </w:t>
      </w:r>
      <w:r w:rsidRPr="00E243E5">
        <w:rPr>
          <w:rFonts w:ascii="Arial" w:eastAsia="Calibri" w:hAnsi="Arial" w:cs="Arial"/>
          <w:color w:val="0000FF"/>
          <w:sz w:val="20"/>
          <w:szCs w:val="20"/>
          <w:u w:val="single"/>
        </w:rPr>
        <w:t>www.actu-environnement.com.</w:t>
      </w:r>
    </w:p>
    <w:p w14:paraId="127DCFC2" w14:textId="77777777" w:rsidR="00E243E5" w:rsidRPr="00E243E5" w:rsidRDefault="00E243E5" w:rsidP="00E243E5">
      <w:pPr>
        <w:spacing w:after="240" w:line="240" w:lineRule="auto"/>
        <w:ind w:left="360"/>
        <w:contextualSpacing/>
        <w:jc w:val="both"/>
        <w:rPr>
          <w:rFonts w:ascii="Arial" w:eastAsia="Calibri" w:hAnsi="Arial" w:cs="Arial"/>
          <w:sz w:val="20"/>
          <w:szCs w:val="20"/>
        </w:rPr>
      </w:pPr>
      <w:r w:rsidRPr="00E243E5">
        <w:rPr>
          <w:rFonts w:ascii="Arial" w:eastAsia="Calibri" w:hAnsi="Arial" w:cs="Arial"/>
          <w:sz w:val="20"/>
          <w:szCs w:val="20"/>
        </w:rPr>
        <w:t>Elle vous transmet les extraits de la réglementation des activités de BTP qu’elle a collectés.</w:t>
      </w:r>
    </w:p>
    <w:p w14:paraId="7F9808C2" w14:textId="77777777" w:rsidR="00E243E5" w:rsidRPr="00E243E5" w:rsidRDefault="00E243E5" w:rsidP="00E243E5">
      <w:pPr>
        <w:spacing w:after="240" w:line="240" w:lineRule="auto"/>
        <w:ind w:left="360"/>
        <w:contextualSpacing/>
        <w:jc w:val="both"/>
        <w:rPr>
          <w:rFonts w:ascii="Arial" w:eastAsia="Calibri" w:hAnsi="Arial" w:cs="Arial"/>
          <w:sz w:val="20"/>
          <w:szCs w:val="20"/>
        </w:rPr>
      </w:pPr>
    </w:p>
    <w:p w14:paraId="0694FF07" w14:textId="77777777" w:rsidR="00E243E5" w:rsidRPr="00E243E5" w:rsidRDefault="00E243E5" w:rsidP="00E243E5">
      <w:pPr>
        <w:numPr>
          <w:ilvl w:val="0"/>
          <w:numId w:val="2"/>
        </w:numPr>
        <w:spacing w:after="0" w:line="240" w:lineRule="auto"/>
        <w:ind w:left="360"/>
        <w:contextualSpacing/>
        <w:jc w:val="both"/>
        <w:rPr>
          <w:rFonts w:ascii="Arial" w:eastAsia="Calibri" w:hAnsi="Arial" w:cs="Arial"/>
          <w:sz w:val="20"/>
          <w:szCs w:val="20"/>
        </w:rPr>
      </w:pPr>
      <w:r w:rsidRPr="00E243E5">
        <w:rPr>
          <w:rFonts w:ascii="Arial" w:eastAsia="Calibri" w:hAnsi="Arial" w:cs="Arial"/>
          <w:sz w:val="20"/>
          <w:szCs w:val="20"/>
        </w:rPr>
        <w:t>Listez les lois et règlements applicables à Charvin SA dans le cadre de l’exploitation d’une gravière de 300 m² dans le lit majeur du Fier, (</w:t>
      </w:r>
      <w:r w:rsidRPr="00E243E5">
        <w:rPr>
          <w:rFonts w:ascii="Arial" w:eastAsia="Calibri" w:hAnsi="Arial" w:cs="Arial"/>
          <w:b/>
          <w:bCs/>
          <w:sz w:val="20"/>
          <w:szCs w:val="20"/>
        </w:rPr>
        <w:t>document 3</w:t>
      </w:r>
      <w:r w:rsidRPr="00E243E5">
        <w:rPr>
          <w:rFonts w:ascii="Arial" w:eastAsia="Calibri" w:hAnsi="Arial" w:cs="Arial"/>
          <w:sz w:val="20"/>
          <w:szCs w:val="20"/>
        </w:rPr>
        <w:t xml:space="preserve">). </w:t>
      </w:r>
    </w:p>
    <w:p w14:paraId="1D086F76" w14:textId="77777777" w:rsidR="00E243E5" w:rsidRPr="00E243E5" w:rsidRDefault="00E243E5" w:rsidP="00E243E5">
      <w:pPr>
        <w:numPr>
          <w:ilvl w:val="0"/>
          <w:numId w:val="2"/>
        </w:numPr>
        <w:spacing w:after="0" w:line="240" w:lineRule="auto"/>
        <w:ind w:left="360"/>
        <w:contextualSpacing/>
        <w:jc w:val="both"/>
        <w:rPr>
          <w:rFonts w:ascii="Arial" w:eastAsia="Calibri" w:hAnsi="Arial" w:cs="Arial"/>
          <w:sz w:val="20"/>
          <w:szCs w:val="20"/>
        </w:rPr>
      </w:pPr>
      <w:r w:rsidRPr="00E243E5">
        <w:rPr>
          <w:rFonts w:ascii="Arial" w:eastAsia="Calibri" w:hAnsi="Arial" w:cs="Arial"/>
          <w:sz w:val="20"/>
          <w:szCs w:val="20"/>
        </w:rPr>
        <w:t>Qui surveille les IPCE ? (</w:t>
      </w:r>
      <w:r w:rsidRPr="00E243E5">
        <w:rPr>
          <w:rFonts w:ascii="Arial" w:eastAsia="Calibri" w:hAnsi="Arial" w:cs="Arial"/>
          <w:b/>
          <w:bCs/>
          <w:sz w:val="20"/>
          <w:szCs w:val="20"/>
        </w:rPr>
        <w:t>document 3</w:t>
      </w:r>
      <w:r w:rsidRPr="00E243E5">
        <w:rPr>
          <w:rFonts w:ascii="Arial" w:eastAsia="Calibri" w:hAnsi="Arial" w:cs="Arial"/>
          <w:sz w:val="20"/>
          <w:szCs w:val="20"/>
        </w:rPr>
        <w:t>).</w:t>
      </w:r>
    </w:p>
    <w:p w14:paraId="67A8B305" w14:textId="77777777" w:rsidR="00E243E5" w:rsidRPr="00E243E5" w:rsidRDefault="00E243E5" w:rsidP="00E243E5">
      <w:pPr>
        <w:numPr>
          <w:ilvl w:val="0"/>
          <w:numId w:val="2"/>
        </w:numPr>
        <w:spacing w:after="0" w:line="240" w:lineRule="auto"/>
        <w:ind w:left="360"/>
        <w:contextualSpacing/>
        <w:jc w:val="both"/>
        <w:rPr>
          <w:rFonts w:ascii="Arial" w:eastAsia="Calibri" w:hAnsi="Arial" w:cs="Arial"/>
          <w:sz w:val="20"/>
          <w:szCs w:val="20"/>
        </w:rPr>
      </w:pPr>
      <w:r w:rsidRPr="00E243E5">
        <w:rPr>
          <w:rFonts w:ascii="Arial" w:eastAsia="Calibri" w:hAnsi="Arial" w:cs="Arial"/>
          <w:sz w:val="20"/>
          <w:szCs w:val="20"/>
        </w:rPr>
        <w:t>Quelles sont les caractéristiques de la certification ISO 14001 et quels en sont les avantages pour l'entreprise (</w:t>
      </w:r>
      <w:r w:rsidRPr="00E243E5">
        <w:rPr>
          <w:rFonts w:ascii="Arial" w:eastAsia="Calibri" w:hAnsi="Arial" w:cs="Arial"/>
          <w:b/>
          <w:bCs/>
          <w:sz w:val="20"/>
          <w:szCs w:val="20"/>
        </w:rPr>
        <w:t>document 4</w:t>
      </w:r>
      <w:r w:rsidRPr="00E243E5">
        <w:rPr>
          <w:rFonts w:ascii="Arial" w:eastAsia="Calibri" w:hAnsi="Arial" w:cs="Arial"/>
          <w:sz w:val="20"/>
          <w:szCs w:val="20"/>
        </w:rPr>
        <w:t>).</w:t>
      </w:r>
    </w:p>
    <w:p w14:paraId="4DE8A6A6" w14:textId="77777777" w:rsidR="00E243E5" w:rsidRPr="00E243E5" w:rsidRDefault="00E243E5" w:rsidP="00E243E5">
      <w:pPr>
        <w:spacing w:after="0" w:line="240" w:lineRule="auto"/>
        <w:ind w:left="360"/>
        <w:contextualSpacing/>
        <w:rPr>
          <w:rFonts w:ascii="Arial" w:eastAsia="Calibri" w:hAnsi="Arial" w:cs="Arial"/>
        </w:rPr>
      </w:pPr>
    </w:p>
    <w:p w14:paraId="714E145B" w14:textId="77777777" w:rsidR="00E243E5" w:rsidRPr="00E243E5" w:rsidRDefault="00E243E5" w:rsidP="00E243E5">
      <w:pPr>
        <w:spacing w:after="0" w:line="240" w:lineRule="auto"/>
        <w:rPr>
          <w:rFonts w:ascii="Arial" w:eastAsia="Calibri" w:hAnsi="Arial" w:cs="Arial"/>
          <w:b/>
          <w:sz w:val="24"/>
        </w:rPr>
      </w:pPr>
      <w:r w:rsidRPr="00E243E5">
        <w:rPr>
          <w:rFonts w:ascii="Arial" w:hAnsi="Arial" w:cs="Arial"/>
          <w:b/>
          <w:color w:val="FFFFFF" w:themeColor="background1"/>
          <w:sz w:val="24"/>
          <w:szCs w:val="24"/>
          <w:highlight w:val="red"/>
        </w:rPr>
        <w:t>Doc. 1 </w:t>
      </w:r>
      <w:r w:rsidRPr="00E243E5">
        <w:rPr>
          <w:rFonts w:ascii="Arial" w:hAnsi="Arial" w:cs="Arial"/>
          <w:b/>
          <w:color w:val="FFFFFF" w:themeColor="background1"/>
          <w:sz w:val="24"/>
          <w:szCs w:val="24"/>
        </w:rPr>
        <w:t xml:space="preserve"> </w:t>
      </w:r>
      <w:r w:rsidRPr="00E243E5">
        <w:rPr>
          <w:rFonts w:ascii="Arial" w:eastAsia="Calibri" w:hAnsi="Arial" w:cs="Arial"/>
          <w:b/>
          <w:sz w:val="24"/>
        </w:rPr>
        <w:t xml:space="preserve">Crues historique du Fier </w:t>
      </w:r>
    </w:p>
    <w:p w14:paraId="5B6FD008" w14:textId="77777777" w:rsidR="00E243E5" w:rsidRPr="00E243E5" w:rsidRDefault="00E243E5" w:rsidP="00E243E5">
      <w:pPr>
        <w:spacing w:before="60" w:after="0" w:line="240" w:lineRule="auto"/>
        <w:rPr>
          <w:rFonts w:ascii="Arial" w:eastAsia="Calibri" w:hAnsi="Arial" w:cs="Arial"/>
          <w:i/>
          <w:sz w:val="18"/>
          <w:szCs w:val="20"/>
        </w:rPr>
      </w:pPr>
      <w:r w:rsidRPr="00E243E5">
        <w:rPr>
          <w:rFonts w:ascii="Arial" w:eastAsia="Calibri" w:hAnsi="Arial" w:cs="Arial"/>
          <w:i/>
          <w:sz w:val="18"/>
          <w:szCs w:val="20"/>
        </w:rPr>
        <w:t>Source : plan de prévention des risques d’Annecy</w:t>
      </w:r>
    </w:p>
    <w:p w14:paraId="6B8CAF2D" w14:textId="77777777" w:rsidR="00E243E5" w:rsidRPr="00E243E5" w:rsidRDefault="00E243E5" w:rsidP="00E243E5">
      <w:pPr>
        <w:spacing w:before="60" w:after="0" w:line="240" w:lineRule="auto"/>
        <w:jc w:val="both"/>
        <w:rPr>
          <w:rFonts w:ascii="Arial" w:eastAsia="Calibri" w:hAnsi="Arial" w:cs="Arial"/>
          <w:sz w:val="20"/>
          <w:szCs w:val="20"/>
        </w:rPr>
      </w:pPr>
      <w:r w:rsidRPr="00E243E5">
        <w:rPr>
          <w:rFonts w:ascii="Arial" w:eastAsia="Calibri" w:hAnsi="Arial" w:cs="Arial"/>
          <w:sz w:val="20"/>
          <w:szCs w:val="20"/>
        </w:rPr>
        <w:t>La rivière torrentielle du fier, prend sa source sur les versants du mont Charvin qui culmine à 2415 m. C’est un torrent de montagne dont le régime hydraulique  connait des points hauts lors de la fonte des neiges au printemps et au début de l’été et à l’occasion des pluies automnales qui peuvent être violentes et importantes.</w:t>
      </w:r>
      <w:r w:rsidRPr="00E243E5">
        <w:rPr>
          <w:rFonts w:ascii="Arial" w:eastAsia="Calibri" w:hAnsi="Arial" w:cs="Arial"/>
          <w:b/>
          <w:sz w:val="20"/>
          <w:szCs w:val="20"/>
        </w:rPr>
        <w:t xml:space="preserve"> </w:t>
      </w:r>
    </w:p>
    <w:p w14:paraId="0F293D3F" w14:textId="77777777" w:rsidR="00E243E5" w:rsidRPr="00E243E5" w:rsidRDefault="00E243E5" w:rsidP="00E243E5">
      <w:pPr>
        <w:spacing w:before="60" w:after="0" w:line="240" w:lineRule="auto"/>
        <w:jc w:val="both"/>
        <w:rPr>
          <w:rFonts w:ascii="Arial" w:eastAsia="Calibri" w:hAnsi="Arial" w:cs="Arial"/>
          <w:sz w:val="20"/>
          <w:szCs w:val="20"/>
        </w:rPr>
      </w:pPr>
      <w:r w:rsidRPr="00E243E5">
        <w:rPr>
          <w:rFonts w:ascii="Arial" w:eastAsia="Calibri" w:hAnsi="Arial" w:cs="Arial"/>
          <w:sz w:val="20"/>
          <w:szCs w:val="20"/>
        </w:rPr>
        <w:t>Avant l'entrée du fier, dans le périmètre des communes du bassin annécien (secteur de Dingy-Saint-Clair), son bassin versant est de l'ordre de 222 km². Lorsqu'il quitte ce périmètre au niveau de Brassilly cette surface atteint 779 km².</w:t>
      </w:r>
    </w:p>
    <w:p w14:paraId="3C1F62F1" w14:textId="77777777" w:rsidR="00E243E5" w:rsidRPr="00E243E5" w:rsidRDefault="00E243E5" w:rsidP="00E243E5">
      <w:pPr>
        <w:spacing w:before="60" w:after="0" w:line="240" w:lineRule="auto"/>
        <w:jc w:val="both"/>
        <w:rPr>
          <w:rFonts w:ascii="Arial" w:eastAsia="Calibri" w:hAnsi="Arial" w:cs="Arial"/>
          <w:sz w:val="20"/>
          <w:szCs w:val="20"/>
        </w:rPr>
      </w:pPr>
      <w:r w:rsidRPr="00E243E5">
        <w:rPr>
          <w:rFonts w:ascii="Arial" w:eastAsia="Calibri" w:hAnsi="Arial" w:cs="Arial"/>
          <w:b/>
          <w:noProof/>
          <w:sz w:val="20"/>
          <w:szCs w:val="20"/>
        </w:rPr>
        <w:drawing>
          <wp:anchor distT="0" distB="0" distL="114300" distR="114300" simplePos="0" relativeHeight="251661312" behindDoc="0" locked="0" layoutInCell="1" allowOverlap="1" wp14:anchorId="0BC61FC7" wp14:editId="4ABDBB9E">
            <wp:simplePos x="0" y="0"/>
            <wp:positionH relativeFrom="column">
              <wp:posOffset>2182495</wp:posOffset>
            </wp:positionH>
            <wp:positionV relativeFrom="paragraph">
              <wp:posOffset>86360</wp:posOffset>
            </wp:positionV>
            <wp:extent cx="4143375" cy="1568450"/>
            <wp:effectExtent l="0" t="0" r="9525" b="0"/>
            <wp:wrapSquare wrapText="bothSides"/>
            <wp:docPr id="360133275" name="Image 1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33275" name="Image 17" descr="Une image contenant texte, capture d’écran, Police, nomb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3375" cy="1568450"/>
                    </a:xfrm>
                    <a:prstGeom prst="rect">
                      <a:avLst/>
                    </a:prstGeom>
                  </pic:spPr>
                </pic:pic>
              </a:graphicData>
            </a:graphic>
            <wp14:sizeRelH relativeFrom="margin">
              <wp14:pctWidth>0</wp14:pctWidth>
            </wp14:sizeRelH>
            <wp14:sizeRelV relativeFrom="margin">
              <wp14:pctHeight>0</wp14:pctHeight>
            </wp14:sizeRelV>
          </wp:anchor>
        </w:drawing>
      </w:r>
    </w:p>
    <w:p w14:paraId="1B239537" w14:textId="77777777" w:rsidR="00E243E5" w:rsidRPr="00E243E5" w:rsidRDefault="00E243E5" w:rsidP="00E243E5">
      <w:pPr>
        <w:spacing w:before="60" w:after="120" w:line="240" w:lineRule="auto"/>
        <w:jc w:val="both"/>
        <w:rPr>
          <w:rFonts w:ascii="Arial" w:eastAsia="Calibri" w:hAnsi="Arial" w:cs="Arial"/>
          <w:bCs/>
          <w:sz w:val="20"/>
          <w:szCs w:val="20"/>
        </w:rPr>
      </w:pPr>
      <w:r w:rsidRPr="00E243E5">
        <w:rPr>
          <w:rFonts w:ascii="Arial" w:eastAsia="Calibri" w:hAnsi="Arial" w:cs="Arial"/>
          <w:sz w:val="20"/>
          <w:szCs w:val="20"/>
        </w:rPr>
        <w:t xml:space="preserve">L'historique des crues du fier est riche si l’on s'en réfère à l'ouvrage « Torrents de Savoie » de 1914. </w:t>
      </w:r>
      <w:r w:rsidRPr="00E243E5">
        <w:rPr>
          <w:rFonts w:ascii="Arial" w:eastAsia="Calibri" w:hAnsi="Arial" w:cs="Arial"/>
          <w:bCs/>
          <w:sz w:val="20"/>
          <w:szCs w:val="20"/>
        </w:rPr>
        <w:t>Parmi les grandes crues du Fier inventoriées dans l'ouvrage, certaines ont été dommageables pour les communes du bassin annécien. Depuis cette époque, la configuration du lit a beaucoup évolué (de façon naturelle et/ou anthropique) rendant certains risques d'écrits peu probables, dans les mêmes termes, de nos jours. Néanmoins il est sage de garder à l'esprit ces témoignages du passé on citera Pour mémoire :</w:t>
      </w:r>
    </w:p>
    <w:p w14:paraId="3F201468" w14:textId="77777777" w:rsidR="00E243E5" w:rsidRDefault="00E243E5" w:rsidP="00E243E5">
      <w:pPr>
        <w:spacing w:before="60" w:after="0" w:line="240" w:lineRule="auto"/>
        <w:jc w:val="center"/>
        <w:rPr>
          <w:rFonts w:ascii="Arial" w:eastAsia="Calibri" w:hAnsi="Arial" w:cs="Arial"/>
          <w:b/>
        </w:rPr>
      </w:pPr>
    </w:p>
    <w:p w14:paraId="2C4A18D3" w14:textId="77777777" w:rsidR="00E243E5" w:rsidRDefault="00E243E5" w:rsidP="00E243E5">
      <w:pPr>
        <w:spacing w:before="60" w:after="0" w:line="240" w:lineRule="auto"/>
        <w:jc w:val="center"/>
        <w:rPr>
          <w:rFonts w:ascii="Arial" w:eastAsia="Calibri" w:hAnsi="Arial" w:cs="Arial"/>
          <w:b/>
        </w:rPr>
      </w:pPr>
    </w:p>
    <w:p w14:paraId="70E31E28" w14:textId="77777777" w:rsidR="00E243E5" w:rsidRPr="00E243E5" w:rsidRDefault="00E243E5" w:rsidP="00E243E5">
      <w:pPr>
        <w:spacing w:before="60" w:after="0" w:line="240" w:lineRule="auto"/>
        <w:jc w:val="center"/>
        <w:rPr>
          <w:rFonts w:ascii="Arial" w:eastAsia="Calibri" w:hAnsi="Arial" w:cs="Arial"/>
          <w:b/>
        </w:rPr>
      </w:pPr>
    </w:p>
    <w:p w14:paraId="4CBBA0D0" w14:textId="77777777" w:rsidR="00E243E5" w:rsidRPr="00E243E5" w:rsidRDefault="00E243E5" w:rsidP="00E243E5">
      <w:pPr>
        <w:spacing w:after="0" w:line="240" w:lineRule="auto"/>
        <w:rPr>
          <w:rFonts w:ascii="Arial" w:eastAsia="Calibri" w:hAnsi="Arial" w:cs="Arial"/>
          <w:b/>
          <w:sz w:val="24"/>
        </w:rPr>
      </w:pPr>
      <w:r w:rsidRPr="00E243E5">
        <w:rPr>
          <w:rFonts w:ascii="Arial" w:hAnsi="Arial" w:cs="Arial"/>
          <w:b/>
          <w:color w:val="FFFFFF" w:themeColor="background1"/>
          <w:sz w:val="24"/>
          <w:szCs w:val="24"/>
          <w:highlight w:val="red"/>
        </w:rPr>
        <w:lastRenderedPageBreak/>
        <w:t>Doc. 2 </w:t>
      </w:r>
      <w:r w:rsidRPr="00E243E5">
        <w:rPr>
          <w:rFonts w:ascii="Arial" w:hAnsi="Arial" w:cs="Arial"/>
          <w:b/>
          <w:color w:val="FFFFFF" w:themeColor="background1"/>
          <w:sz w:val="24"/>
          <w:szCs w:val="24"/>
        </w:rPr>
        <w:t xml:space="preserve"> </w:t>
      </w:r>
      <w:r w:rsidRPr="00E243E5">
        <w:rPr>
          <w:rFonts w:ascii="Arial" w:hAnsi="Arial" w:cs="Arial"/>
          <w:b/>
          <w:bCs/>
          <w:sz w:val="24"/>
          <w:szCs w:val="28"/>
        </w:rPr>
        <w:t>Les installations classées à risque dans le département</w:t>
      </w:r>
      <w:r w:rsidRPr="00E243E5">
        <w:rPr>
          <w:rFonts w:ascii="Arial" w:eastAsia="Calibri" w:hAnsi="Arial" w:cs="Arial"/>
          <w:b/>
          <w:sz w:val="32"/>
          <w:szCs w:val="28"/>
        </w:rPr>
        <w:t xml:space="preserve"> </w:t>
      </w:r>
    </w:p>
    <w:p w14:paraId="55152CE5" w14:textId="77777777" w:rsidR="00E243E5" w:rsidRPr="00E243E5" w:rsidRDefault="00E243E5" w:rsidP="00E243E5">
      <w:pPr>
        <w:spacing w:before="60" w:after="60" w:line="240" w:lineRule="auto"/>
        <w:rPr>
          <w:rFonts w:ascii="Arial" w:eastAsia="Calibri" w:hAnsi="Arial" w:cs="Arial"/>
          <w:i/>
          <w:sz w:val="20"/>
          <w:szCs w:val="20"/>
        </w:rPr>
      </w:pPr>
      <w:r w:rsidRPr="00E243E5">
        <w:rPr>
          <w:rFonts w:ascii="Arial" w:eastAsia="Calibri" w:hAnsi="Arial" w:cs="Arial"/>
          <w:i/>
          <w:sz w:val="20"/>
          <w:szCs w:val="20"/>
        </w:rPr>
        <w:t xml:space="preserve">Source : </w:t>
      </w:r>
      <w:hyperlink r:id="rId12" w:history="1">
        <w:r w:rsidRPr="00E243E5">
          <w:rPr>
            <w:rStyle w:val="Lienhypertexte"/>
            <w:rFonts w:ascii="Arial" w:eastAsia="Calibri" w:hAnsi="Arial" w:cs="Arial"/>
            <w:i/>
            <w:sz w:val="20"/>
            <w:szCs w:val="20"/>
          </w:rPr>
          <w:t>www.haute-savoie.gouv</w:t>
        </w:r>
      </w:hyperlink>
      <w:r w:rsidRPr="00E243E5">
        <w:rPr>
          <w:rFonts w:ascii="Arial" w:eastAsia="Calibri" w:hAnsi="Arial" w:cs="Arial"/>
          <w:i/>
          <w:sz w:val="20"/>
          <w:szCs w:val="20"/>
        </w:rPr>
        <w:t xml:space="preserve"> </w:t>
      </w:r>
    </w:p>
    <w:p w14:paraId="28682529" w14:textId="77777777" w:rsidR="00E243E5" w:rsidRPr="00E243E5" w:rsidRDefault="00E243E5" w:rsidP="00E243E5">
      <w:pPr>
        <w:spacing w:before="120" w:after="0"/>
        <w:rPr>
          <w:rFonts w:ascii="Arial" w:hAnsi="Arial" w:cs="Arial"/>
          <w:sz w:val="20"/>
          <w:szCs w:val="20"/>
        </w:rPr>
      </w:pPr>
      <w:r w:rsidRPr="00E243E5">
        <w:rPr>
          <w:rFonts w:ascii="Arial" w:hAnsi="Arial" w:cs="Arial"/>
          <w:noProof/>
          <w:sz w:val="20"/>
          <w:szCs w:val="20"/>
        </w:rPr>
        <w:drawing>
          <wp:anchor distT="0" distB="0" distL="114300" distR="114300" simplePos="0" relativeHeight="251660288" behindDoc="0" locked="0" layoutInCell="1" allowOverlap="1" wp14:anchorId="6BD385EF" wp14:editId="2CC608C7">
            <wp:simplePos x="0" y="0"/>
            <wp:positionH relativeFrom="column">
              <wp:posOffset>4133409</wp:posOffset>
            </wp:positionH>
            <wp:positionV relativeFrom="paragraph">
              <wp:posOffset>23798</wp:posOffset>
            </wp:positionV>
            <wp:extent cx="2221230" cy="1119505"/>
            <wp:effectExtent l="0" t="0" r="7620" b="4445"/>
            <wp:wrapSquare wrapText="bothSides"/>
            <wp:docPr id="849816033" name="Image 18" descr="Une image contenant ciel, plein air, bâtiment,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16033" name="Image 18" descr="Une image contenant ciel, plein air, bâtiment, nuag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1230" cy="1119505"/>
                    </a:xfrm>
                    <a:prstGeom prst="rect">
                      <a:avLst/>
                    </a:prstGeom>
                  </pic:spPr>
                </pic:pic>
              </a:graphicData>
            </a:graphic>
          </wp:anchor>
        </w:drawing>
      </w:r>
      <w:r w:rsidRPr="00E243E5">
        <w:rPr>
          <w:rFonts w:ascii="Arial" w:hAnsi="Arial" w:cs="Arial"/>
          <w:sz w:val="20"/>
          <w:szCs w:val="20"/>
        </w:rPr>
        <w:t xml:space="preserve">On dénombre aujourd’hui 289 ICPE soumises à autorisation dans le département. Parmi celles-ci, 2 entreprises possèdent une ICPE soumise à la directive européenne SEVESO 3 de seuil haut. </w:t>
      </w:r>
    </w:p>
    <w:p w14:paraId="3E6652D0" w14:textId="77777777" w:rsidR="00E243E5" w:rsidRPr="00E243E5" w:rsidRDefault="00E243E5" w:rsidP="00E243E5">
      <w:pPr>
        <w:pStyle w:val="Paragraphedeliste"/>
        <w:numPr>
          <w:ilvl w:val="0"/>
          <w:numId w:val="6"/>
        </w:numPr>
        <w:spacing w:after="120" w:line="240" w:lineRule="auto"/>
        <w:ind w:left="142" w:hanging="142"/>
        <w:jc w:val="both"/>
        <w:rPr>
          <w:rFonts w:ascii="Arial" w:hAnsi="Arial" w:cs="Arial"/>
          <w:sz w:val="20"/>
          <w:szCs w:val="20"/>
        </w:rPr>
      </w:pPr>
      <w:r w:rsidRPr="00E243E5">
        <w:rPr>
          <w:rFonts w:ascii="Arial" w:hAnsi="Arial" w:cs="Arial"/>
          <w:sz w:val="20"/>
          <w:szCs w:val="20"/>
        </w:rPr>
        <w:t>Dépôt Pétrolier de Haute-Savoie (DPHS) à Annecy. Implanté depuis 1967 sur la zone industrielle de Vovray, ce site stocke des produits dérivés du pétrole. Il est alimenté par pipeline avec une capacitée totale de 54500 m³ ;</w:t>
      </w:r>
    </w:p>
    <w:p w14:paraId="7683C2E3" w14:textId="77777777" w:rsidR="00E243E5" w:rsidRPr="00E243E5" w:rsidRDefault="00E243E5" w:rsidP="00E243E5">
      <w:pPr>
        <w:pStyle w:val="Paragraphedeliste"/>
        <w:numPr>
          <w:ilvl w:val="0"/>
          <w:numId w:val="6"/>
        </w:numPr>
        <w:spacing w:after="0" w:line="240" w:lineRule="auto"/>
        <w:ind w:left="142" w:hanging="142"/>
        <w:jc w:val="both"/>
        <w:rPr>
          <w:rFonts w:ascii="Arial" w:hAnsi="Arial" w:cs="Arial"/>
          <w:sz w:val="20"/>
          <w:szCs w:val="20"/>
        </w:rPr>
      </w:pPr>
      <w:r w:rsidRPr="00E243E5">
        <w:rPr>
          <w:rFonts w:ascii="Arial" w:hAnsi="Arial" w:cs="Arial"/>
          <w:sz w:val="20"/>
          <w:szCs w:val="20"/>
        </w:rPr>
        <w:t>SAFRAM à Eteaux et La Roche-sur-Foron. Entreprise de logistique classée depuis septembre 2019.</w:t>
      </w:r>
    </w:p>
    <w:p w14:paraId="37D869B0" w14:textId="77777777" w:rsidR="00E243E5" w:rsidRPr="00E243E5" w:rsidRDefault="00E243E5" w:rsidP="00E243E5">
      <w:pPr>
        <w:spacing w:before="60" w:after="0" w:line="240" w:lineRule="auto"/>
        <w:jc w:val="both"/>
        <w:rPr>
          <w:rFonts w:ascii="Arial" w:eastAsia="Calibri" w:hAnsi="Arial" w:cs="Arial"/>
          <w:sz w:val="20"/>
          <w:szCs w:val="20"/>
        </w:rPr>
      </w:pPr>
      <w:bookmarkStart w:id="0" w:name="_Hlk153229923"/>
      <w:r w:rsidRPr="00E243E5">
        <w:rPr>
          <w:rFonts w:ascii="Arial" w:hAnsi="Arial" w:cs="Arial"/>
          <w:color w:val="3A3A3A"/>
          <w:sz w:val="20"/>
          <w:szCs w:val="20"/>
          <w:shd w:val="clear" w:color="auto" w:fill="FFFFFF"/>
        </w:rPr>
        <w:t xml:space="preserve">Le dépôt pétrolier d’Annecy est considéré comme l’établissement le plus sensible car un incident pourrait impliquer des populations riveraines. </w:t>
      </w:r>
      <w:r w:rsidRPr="00E243E5">
        <w:rPr>
          <w:rFonts w:ascii="Arial" w:eastAsia="Calibri" w:hAnsi="Arial" w:cs="Arial"/>
          <w:sz w:val="20"/>
          <w:szCs w:val="20"/>
        </w:rPr>
        <w:t>II est soumis à des mesures particulières : études de danger, Plan d'opération Interne (POL), Plan Particulier d'intervention (PPI) et Plan de Prévention des Risques Technologiques (PPRT).</w:t>
      </w:r>
    </w:p>
    <w:bookmarkEnd w:id="0"/>
    <w:p w14:paraId="045B5C15" w14:textId="77777777" w:rsidR="00E243E5" w:rsidRPr="00E243E5" w:rsidRDefault="00E243E5" w:rsidP="00E243E5">
      <w:pPr>
        <w:spacing w:before="60" w:after="0" w:line="240" w:lineRule="auto"/>
        <w:jc w:val="both"/>
        <w:rPr>
          <w:rFonts w:ascii="Arial" w:eastAsia="Calibri" w:hAnsi="Arial" w:cs="Arial"/>
          <w:sz w:val="20"/>
          <w:szCs w:val="20"/>
        </w:rPr>
      </w:pPr>
      <w:r w:rsidRPr="00E243E5">
        <w:rPr>
          <w:rFonts w:ascii="Arial" w:eastAsia="Calibri" w:hAnsi="Arial" w:cs="Arial"/>
          <w:sz w:val="20"/>
          <w:szCs w:val="20"/>
        </w:rPr>
        <w:t>Ces établissements sont réglementés par la législation des Installations classées IPCE. Outre les normes de construction des réservoirs, la règlementation impose aux entreprises la mise en place de dispositifs techniques ou organisationnels de sécurité pour limiter la pollution de l'air (filtres), du sol (bassin de rétention), de l'eau (contrôle, filtration, traitement), du bruit, etc.</w:t>
      </w:r>
    </w:p>
    <w:p w14:paraId="3FE84E9F" w14:textId="77777777" w:rsidR="00E243E5" w:rsidRPr="00E243E5" w:rsidRDefault="00E243E5" w:rsidP="00E243E5">
      <w:pPr>
        <w:spacing w:before="120" w:after="0" w:line="240" w:lineRule="auto"/>
        <w:jc w:val="center"/>
        <w:rPr>
          <w:rFonts w:ascii="Arial" w:eastAsia="Calibri" w:hAnsi="Arial" w:cs="Arial"/>
          <w:b/>
          <w:bCs/>
          <w:sz w:val="20"/>
          <w:szCs w:val="20"/>
        </w:rPr>
      </w:pPr>
      <w:r w:rsidRPr="00E243E5">
        <w:rPr>
          <w:rFonts w:ascii="Arial" w:hAnsi="Arial" w:cs="Arial"/>
          <w:b/>
          <w:bCs/>
          <w:color w:val="3A3A3A"/>
          <w:sz w:val="20"/>
          <w:szCs w:val="20"/>
          <w:shd w:val="clear" w:color="auto" w:fill="FFFFFF"/>
        </w:rPr>
        <w:t>Extrait du PPI (Plan Particulier d’Intervention)</w:t>
      </w:r>
    </w:p>
    <w:p w14:paraId="4E1CFE0E" w14:textId="77777777" w:rsidR="00E243E5" w:rsidRPr="00E243E5" w:rsidRDefault="00E243E5" w:rsidP="00E243E5">
      <w:pPr>
        <w:spacing w:before="60" w:after="0" w:line="240" w:lineRule="auto"/>
        <w:jc w:val="center"/>
        <w:rPr>
          <w:rFonts w:ascii="Arial" w:eastAsia="Calibri" w:hAnsi="Arial" w:cs="Arial"/>
          <w:sz w:val="20"/>
          <w:szCs w:val="20"/>
        </w:rPr>
      </w:pPr>
      <w:r w:rsidRPr="00E243E5">
        <w:rPr>
          <w:rFonts w:ascii="Arial" w:eastAsia="Calibri" w:hAnsi="Arial" w:cs="Arial"/>
          <w:noProof/>
          <w:sz w:val="20"/>
          <w:szCs w:val="20"/>
        </w:rPr>
        <w:drawing>
          <wp:inline distT="0" distB="0" distL="0" distR="0" wp14:anchorId="444B83F3" wp14:editId="2011C9F6">
            <wp:extent cx="4126230" cy="3897480"/>
            <wp:effectExtent l="19050" t="19050" r="26670" b="27305"/>
            <wp:docPr id="1859788106" name="Image 16" descr="Une image contenant texte, Appareils électroniques,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88106" name="Image 16" descr="Une image contenant texte, Appareils électroniques, capture d’écran, Polic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7630" cy="3908248"/>
                    </a:xfrm>
                    <a:prstGeom prst="rect">
                      <a:avLst/>
                    </a:prstGeom>
                    <a:ln>
                      <a:solidFill>
                        <a:schemeClr val="accent1"/>
                      </a:solidFill>
                    </a:ln>
                  </pic:spPr>
                </pic:pic>
              </a:graphicData>
            </a:graphic>
          </wp:inline>
        </w:drawing>
      </w:r>
    </w:p>
    <w:p w14:paraId="494B4630" w14:textId="77777777" w:rsidR="00E243E5" w:rsidRPr="00E243E5" w:rsidRDefault="00E243E5" w:rsidP="00E243E5">
      <w:pPr>
        <w:spacing w:before="120" w:after="0" w:line="240" w:lineRule="auto"/>
        <w:rPr>
          <w:rFonts w:ascii="Arial" w:eastAsia="Calibri" w:hAnsi="Arial" w:cs="Arial"/>
          <w:b/>
          <w:sz w:val="24"/>
        </w:rPr>
      </w:pPr>
      <w:r w:rsidRPr="00E243E5">
        <w:rPr>
          <w:rFonts w:ascii="Arial" w:hAnsi="Arial" w:cs="Arial"/>
          <w:b/>
          <w:color w:val="FFFFFF" w:themeColor="background1"/>
          <w:sz w:val="24"/>
          <w:szCs w:val="24"/>
          <w:highlight w:val="red"/>
        </w:rPr>
        <w:t>Doc. 3 </w:t>
      </w:r>
      <w:r w:rsidRPr="00E243E5">
        <w:rPr>
          <w:rFonts w:ascii="Arial" w:hAnsi="Arial" w:cs="Arial"/>
          <w:b/>
          <w:color w:val="FFFFFF" w:themeColor="background1"/>
          <w:sz w:val="24"/>
          <w:szCs w:val="24"/>
        </w:rPr>
        <w:t xml:space="preserve"> </w:t>
      </w:r>
      <w:r w:rsidRPr="00E243E5">
        <w:rPr>
          <w:rFonts w:ascii="Arial" w:eastAsia="Calibri" w:hAnsi="Arial" w:cs="Arial"/>
          <w:b/>
          <w:sz w:val="24"/>
        </w:rPr>
        <w:t>ICPE des gravières</w:t>
      </w:r>
    </w:p>
    <w:p w14:paraId="67D076E0" w14:textId="77777777" w:rsidR="00E243E5" w:rsidRPr="00E243E5" w:rsidRDefault="00E243E5" w:rsidP="00E243E5">
      <w:pPr>
        <w:spacing w:before="120" w:after="0" w:line="240" w:lineRule="auto"/>
        <w:rPr>
          <w:rFonts w:ascii="Arial" w:eastAsia="Calibri" w:hAnsi="Arial" w:cs="Arial"/>
          <w:i/>
          <w:sz w:val="18"/>
          <w:szCs w:val="20"/>
        </w:rPr>
      </w:pPr>
      <w:r w:rsidRPr="00E243E5">
        <w:rPr>
          <w:rFonts w:ascii="Arial" w:eastAsia="Calibri" w:hAnsi="Arial" w:cs="Arial"/>
          <w:i/>
          <w:sz w:val="18"/>
          <w:szCs w:val="20"/>
        </w:rPr>
        <w:t xml:space="preserve">Source : www. </w:t>
      </w:r>
      <w:hyperlink r:id="rId15" w:history="1">
        <w:r w:rsidRPr="00E243E5">
          <w:rPr>
            <w:rStyle w:val="Lienhypertexte"/>
            <w:rFonts w:ascii="Arial" w:eastAsia="Calibri" w:hAnsi="Arial" w:cs="Arial"/>
            <w:i/>
            <w:sz w:val="18"/>
            <w:szCs w:val="20"/>
          </w:rPr>
          <w:t>http://www.cpepesc.org/</w:t>
        </w:r>
      </w:hyperlink>
      <w:r w:rsidRPr="00E243E5">
        <w:rPr>
          <w:rFonts w:ascii="Arial" w:eastAsia="Calibri" w:hAnsi="Arial" w:cs="Arial"/>
          <w:i/>
          <w:sz w:val="18"/>
          <w:szCs w:val="20"/>
        </w:rPr>
        <w:t xml:space="preserve"> </w:t>
      </w:r>
    </w:p>
    <w:p w14:paraId="436D6E9A" w14:textId="77777777" w:rsidR="00E243E5" w:rsidRPr="00E243E5" w:rsidRDefault="00E243E5" w:rsidP="00E243E5">
      <w:pPr>
        <w:pStyle w:val="Paragraphedeliste"/>
        <w:numPr>
          <w:ilvl w:val="2"/>
          <w:numId w:val="7"/>
        </w:numPr>
        <w:spacing w:before="120" w:after="120" w:line="240" w:lineRule="auto"/>
        <w:ind w:left="142" w:hanging="142"/>
        <w:jc w:val="both"/>
        <w:rPr>
          <w:rFonts w:ascii="Arial" w:hAnsi="Arial" w:cs="Arial"/>
          <w:sz w:val="20"/>
          <w:szCs w:val="20"/>
        </w:rPr>
      </w:pPr>
      <w:r w:rsidRPr="00E243E5">
        <w:rPr>
          <w:rStyle w:val="lev"/>
          <w:rFonts w:ascii="Arial" w:hAnsi="Arial" w:cs="Arial"/>
          <w:sz w:val="20"/>
          <w:szCs w:val="20"/>
          <w:bdr w:val="none" w:sz="0" w:space="0" w:color="auto" w:frame="1"/>
        </w:rPr>
        <w:t>Rubrique ICPE « 2510-5 »</w:t>
      </w:r>
      <w:r w:rsidRPr="00E243E5">
        <w:rPr>
          <w:rFonts w:ascii="Arial" w:hAnsi="Arial" w:cs="Arial"/>
          <w:sz w:val="20"/>
          <w:szCs w:val="20"/>
        </w:rPr>
        <w:t> : Les carrières, supérieure à 500 m ² sont soumises à procédure d’autorisation du préfet et les carrières inférieures à 500 m² sont soumises à une simple procédure de déclaration au préfet.</w:t>
      </w:r>
    </w:p>
    <w:p w14:paraId="5838F41E" w14:textId="77777777" w:rsidR="00E243E5" w:rsidRPr="00E243E5" w:rsidRDefault="00E243E5" w:rsidP="00E243E5">
      <w:pPr>
        <w:pStyle w:val="Paragraphedeliste"/>
        <w:numPr>
          <w:ilvl w:val="2"/>
          <w:numId w:val="7"/>
        </w:numPr>
        <w:spacing w:after="120" w:line="240" w:lineRule="auto"/>
        <w:ind w:left="142" w:hanging="142"/>
        <w:jc w:val="both"/>
        <w:rPr>
          <w:rStyle w:val="lev"/>
          <w:rFonts w:ascii="Arial" w:hAnsi="Arial" w:cs="Arial"/>
          <w:b w:val="0"/>
          <w:bCs w:val="0"/>
          <w:sz w:val="20"/>
          <w:szCs w:val="20"/>
        </w:rPr>
      </w:pPr>
      <w:r w:rsidRPr="00E243E5">
        <w:rPr>
          <w:rFonts w:ascii="Arial" w:hAnsi="Arial" w:cs="Arial"/>
          <w:sz w:val="20"/>
          <w:szCs w:val="20"/>
        </w:rPr>
        <w:t>Les autorisations d’exploitation de carrières </w:t>
      </w:r>
      <w:r w:rsidRPr="00E243E5">
        <w:rPr>
          <w:rStyle w:val="lev"/>
          <w:rFonts w:ascii="Arial" w:hAnsi="Arial" w:cs="Arial"/>
          <w:sz w:val="20"/>
          <w:szCs w:val="20"/>
          <w:bdr w:val="none" w:sz="0" w:space="0" w:color="auto" w:frame="1"/>
        </w:rPr>
        <w:t>en zone alluviale, en zone humide, dans le lit majeur des cours d’eau</w:t>
      </w:r>
      <w:r w:rsidRPr="00E243E5">
        <w:rPr>
          <w:rFonts w:ascii="Arial" w:hAnsi="Arial" w:cs="Arial"/>
          <w:sz w:val="20"/>
          <w:szCs w:val="20"/>
        </w:rPr>
        <w:t>, sont considérées par la jurisprudence comme des décisions en matière d’eau. Elles doivent donc </w:t>
      </w:r>
      <w:r w:rsidRPr="00E243E5">
        <w:rPr>
          <w:rStyle w:val="lev"/>
          <w:rFonts w:ascii="Arial" w:hAnsi="Arial" w:cs="Arial"/>
          <w:sz w:val="20"/>
          <w:szCs w:val="20"/>
          <w:bdr w:val="none" w:sz="0" w:space="0" w:color="auto" w:frame="1"/>
        </w:rPr>
        <w:t>être compatibles avec les orientations du SDAGE de bassin et le SAGE local s’il existe</w:t>
      </w:r>
    </w:p>
    <w:p w14:paraId="1BFA0B80" w14:textId="77777777" w:rsidR="00E243E5" w:rsidRPr="00E243E5" w:rsidRDefault="00E243E5" w:rsidP="00E243E5">
      <w:pPr>
        <w:pStyle w:val="Paragraphedeliste"/>
        <w:numPr>
          <w:ilvl w:val="2"/>
          <w:numId w:val="7"/>
        </w:numPr>
        <w:spacing w:after="120" w:line="240" w:lineRule="auto"/>
        <w:ind w:left="142" w:hanging="142"/>
        <w:jc w:val="both"/>
        <w:rPr>
          <w:rFonts w:ascii="Arial" w:hAnsi="Arial" w:cs="Arial"/>
          <w:sz w:val="20"/>
          <w:szCs w:val="20"/>
        </w:rPr>
      </w:pPr>
      <w:r w:rsidRPr="00E243E5">
        <w:rPr>
          <w:rFonts w:ascii="Arial" w:hAnsi="Arial" w:cs="Arial"/>
          <w:sz w:val="20"/>
          <w:szCs w:val="20"/>
        </w:rPr>
        <w:t>Il doit éventuellement aussi produire </w:t>
      </w:r>
      <w:r w:rsidRPr="00E243E5">
        <w:rPr>
          <w:rStyle w:val="lev"/>
          <w:rFonts w:ascii="Arial" w:hAnsi="Arial" w:cs="Arial"/>
          <w:sz w:val="20"/>
          <w:szCs w:val="20"/>
          <w:bdr w:val="none" w:sz="0" w:space="0" w:color="auto" w:frame="1"/>
        </w:rPr>
        <w:t>des garanties financières</w:t>
      </w:r>
      <w:r w:rsidRPr="00E243E5">
        <w:rPr>
          <w:rFonts w:ascii="Arial" w:hAnsi="Arial" w:cs="Arial"/>
          <w:sz w:val="20"/>
          <w:szCs w:val="20"/>
        </w:rPr>
        <w:t> avant tout démarrage des travaux pour garantir la remise en état des lieux après exploitation. </w:t>
      </w:r>
      <w:r w:rsidRPr="00E243E5">
        <w:rPr>
          <w:rStyle w:val="lev"/>
          <w:rFonts w:ascii="Arial" w:hAnsi="Arial" w:cs="Arial"/>
          <w:sz w:val="20"/>
          <w:szCs w:val="20"/>
          <w:bdr w:val="none" w:sz="0" w:space="0" w:color="auto" w:frame="1"/>
        </w:rPr>
        <w:t>(article L. 516-1</w:t>
      </w:r>
      <w:hyperlink r:id="rId16" w:history="1">
        <w:r w:rsidRPr="00E243E5">
          <w:rPr>
            <w:rStyle w:val="Lienhypertexte"/>
            <w:rFonts w:ascii="Arial" w:hAnsi="Arial" w:cs="Arial"/>
            <w:b/>
            <w:bCs/>
            <w:sz w:val="20"/>
            <w:szCs w:val="20"/>
            <w:bdr w:val="none" w:sz="0" w:space="0" w:color="auto" w:frame="1"/>
          </w:rPr>
          <w:t> </w:t>
        </w:r>
      </w:hyperlink>
      <w:r w:rsidRPr="00E243E5">
        <w:rPr>
          <w:rStyle w:val="lev"/>
          <w:rFonts w:ascii="Arial" w:hAnsi="Arial" w:cs="Arial"/>
          <w:sz w:val="20"/>
          <w:szCs w:val="20"/>
          <w:bdr w:val="none" w:sz="0" w:space="0" w:color="auto" w:frame="1"/>
        </w:rPr>
        <w:t>et article R 516-1 et suivants </w:t>
      </w:r>
      <w:r w:rsidRPr="00E243E5">
        <w:rPr>
          <w:rFonts w:ascii="Arial" w:hAnsi="Arial" w:cs="Arial"/>
          <w:sz w:val="20"/>
          <w:szCs w:val="20"/>
        </w:rPr>
        <w:t>du code de l’environnement).</w:t>
      </w:r>
    </w:p>
    <w:p w14:paraId="6297F6DA" w14:textId="77777777" w:rsidR="00E243E5" w:rsidRPr="00E243E5" w:rsidRDefault="00E243E5" w:rsidP="00E243E5">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E243E5">
        <w:rPr>
          <w:rStyle w:val="lev"/>
          <w:rFonts w:ascii="Arial" w:eastAsia="Calibri" w:hAnsi="Arial" w:cs="Arial"/>
          <w:color w:val="000000" w:themeColor="text1"/>
          <w:sz w:val="20"/>
          <w:szCs w:val="20"/>
          <w:bdr w:val="none" w:sz="0" w:space="0" w:color="auto" w:frame="1"/>
        </w:rPr>
        <w:t>L’arrêté du 22 septembre 1994 interdit les extractions :</w:t>
      </w:r>
    </w:p>
    <w:p w14:paraId="7AE602BA" w14:textId="77777777" w:rsidR="00E243E5" w:rsidRPr="00E243E5" w:rsidRDefault="00E243E5" w:rsidP="00E243E5">
      <w:pPr>
        <w:pStyle w:val="NormalWeb"/>
        <w:shd w:val="clear" w:color="auto" w:fill="FFFFFF"/>
        <w:spacing w:before="0" w:beforeAutospacing="0" w:after="120" w:afterAutospacing="0"/>
        <w:textAlignment w:val="baseline"/>
        <w:rPr>
          <w:rFonts w:ascii="Arial" w:hAnsi="Arial" w:cs="Arial"/>
          <w:color w:val="000000" w:themeColor="text1"/>
          <w:sz w:val="20"/>
          <w:szCs w:val="20"/>
        </w:rPr>
      </w:pPr>
      <w:r w:rsidRPr="00E243E5">
        <w:rPr>
          <w:rFonts w:ascii="Arial" w:hAnsi="Arial" w:cs="Arial"/>
          <w:color w:val="000000" w:themeColor="text1"/>
          <w:sz w:val="20"/>
          <w:szCs w:val="20"/>
        </w:rPr>
        <w:t>– </w:t>
      </w:r>
      <w:r w:rsidRPr="00E243E5">
        <w:rPr>
          <w:rStyle w:val="Accentuation"/>
          <w:rFonts w:ascii="Arial" w:hAnsi="Arial" w:cs="Arial"/>
          <w:color w:val="000000" w:themeColor="text1"/>
          <w:sz w:val="20"/>
          <w:szCs w:val="20"/>
          <w:bdr w:val="none" w:sz="0" w:space="0" w:color="auto" w:frame="1"/>
        </w:rPr>
        <w:t>« dans le lit mineur des cours d’eau et dans les plans d’eau traversés par des cours d’eau »</w:t>
      </w:r>
      <w:r w:rsidRPr="00E243E5">
        <w:rPr>
          <w:rFonts w:ascii="Arial" w:hAnsi="Arial" w:cs="Arial"/>
          <w:color w:val="000000" w:themeColor="text1"/>
          <w:sz w:val="20"/>
          <w:szCs w:val="20"/>
        </w:rPr>
        <w:t>. (article 11.2.I de l’arrêté du 22 septembre 1994)</w:t>
      </w:r>
    </w:p>
    <w:p w14:paraId="65038B3C" w14:textId="77777777" w:rsidR="00E243E5" w:rsidRPr="00E243E5" w:rsidRDefault="00E243E5" w:rsidP="00E243E5">
      <w:pPr>
        <w:pStyle w:val="NormalWeb"/>
        <w:shd w:val="clear" w:color="auto" w:fill="FFFFFF"/>
        <w:spacing w:before="0" w:beforeAutospacing="0" w:after="120" w:afterAutospacing="0"/>
        <w:textAlignment w:val="baseline"/>
        <w:rPr>
          <w:rFonts w:ascii="Arial" w:hAnsi="Arial" w:cs="Arial"/>
          <w:color w:val="000000" w:themeColor="text1"/>
          <w:sz w:val="20"/>
          <w:szCs w:val="20"/>
        </w:rPr>
      </w:pPr>
      <w:r w:rsidRPr="00E243E5">
        <w:rPr>
          <w:rStyle w:val="Accentuation"/>
          <w:rFonts w:ascii="Arial" w:hAnsi="Arial" w:cs="Arial"/>
          <w:color w:val="000000" w:themeColor="text1"/>
          <w:sz w:val="20"/>
          <w:szCs w:val="20"/>
          <w:bdr w:val="none" w:sz="0" w:space="0" w:color="auto" w:frame="1"/>
        </w:rPr>
        <w:lastRenderedPageBreak/>
        <w:t>« Le lit mineur d’un cours d’eau est l’espace d’écoulement des eaux formé d’un chenal unique ou de plusieurs bras et de bancs de sables ou galets, recouvert par les eaux coulant à pleins bords avant débordement. »</w:t>
      </w:r>
      <w:r w:rsidRPr="00E243E5">
        <w:rPr>
          <w:rFonts w:ascii="Arial" w:hAnsi="Arial" w:cs="Arial"/>
          <w:color w:val="000000" w:themeColor="text1"/>
          <w:sz w:val="20"/>
          <w:szCs w:val="20"/>
        </w:rPr>
        <w:t xml:space="preserve"> (même article). </w:t>
      </w:r>
      <w:r w:rsidRPr="00E243E5">
        <w:rPr>
          <w:rStyle w:val="Accentuation"/>
          <w:rFonts w:ascii="Arial" w:hAnsi="Arial" w:cs="Arial"/>
          <w:color w:val="000000" w:themeColor="text1"/>
          <w:sz w:val="20"/>
          <w:szCs w:val="20"/>
          <w:bdr w:val="none" w:sz="0" w:space="0" w:color="auto" w:frame="1"/>
        </w:rPr>
        <w:t>« Si des extractions sont nécessaires à l’entretien dûment justifié ou à l’aménagement d’un cours d’eau ou d’un plan d’eau, elles sont alors considérées comme un dragage »</w:t>
      </w:r>
      <w:r w:rsidRPr="00E243E5">
        <w:rPr>
          <w:rFonts w:ascii="Arial" w:hAnsi="Arial" w:cs="Arial"/>
          <w:color w:val="000000" w:themeColor="text1"/>
          <w:sz w:val="20"/>
          <w:szCs w:val="20"/>
        </w:rPr>
        <w:t> (même article)</w:t>
      </w:r>
    </w:p>
    <w:p w14:paraId="54016BC4" w14:textId="77777777" w:rsidR="00E243E5" w:rsidRPr="00E243E5" w:rsidRDefault="00E243E5" w:rsidP="00E243E5">
      <w:pPr>
        <w:pStyle w:val="NormalWeb"/>
        <w:shd w:val="clear" w:color="auto" w:fill="FFFFFF"/>
        <w:spacing w:before="0" w:beforeAutospacing="0" w:after="0" w:afterAutospacing="0"/>
        <w:textAlignment w:val="baseline"/>
        <w:rPr>
          <w:rFonts w:ascii="Arial" w:hAnsi="Arial" w:cs="Arial"/>
          <w:color w:val="000000" w:themeColor="text1"/>
          <w:sz w:val="20"/>
          <w:szCs w:val="20"/>
        </w:rPr>
      </w:pPr>
      <w:r w:rsidRPr="00E243E5">
        <w:rPr>
          <w:rStyle w:val="lev"/>
          <w:rFonts w:ascii="Arial" w:eastAsia="Calibri" w:hAnsi="Arial" w:cs="Arial"/>
          <w:color w:val="000000" w:themeColor="text1"/>
          <w:sz w:val="20"/>
          <w:szCs w:val="20"/>
          <w:bdr w:val="none" w:sz="0" w:space="0" w:color="auto" w:frame="1"/>
        </w:rPr>
        <w:t xml:space="preserve">Le même arrêté spécifie également notamment que : </w:t>
      </w:r>
      <w:r w:rsidRPr="00E243E5">
        <w:rPr>
          <w:rFonts w:ascii="Arial" w:hAnsi="Arial" w:cs="Arial"/>
          <w:color w:val="000000" w:themeColor="text1"/>
          <w:sz w:val="20"/>
          <w:szCs w:val="20"/>
        </w:rPr>
        <w:t>Les exploitations de carrières </w:t>
      </w:r>
      <w:r w:rsidRPr="00E243E5">
        <w:rPr>
          <w:rStyle w:val="Accentuation"/>
          <w:rFonts w:ascii="Arial" w:hAnsi="Arial" w:cs="Arial"/>
          <w:color w:val="000000" w:themeColor="text1"/>
          <w:sz w:val="20"/>
          <w:szCs w:val="20"/>
          <w:bdr w:val="none" w:sz="0" w:space="0" w:color="auto" w:frame="1"/>
        </w:rPr>
        <w:t>« en nappe alluviale dans le lit majeur »</w:t>
      </w:r>
      <w:r w:rsidRPr="00E243E5">
        <w:rPr>
          <w:rFonts w:ascii="Arial" w:hAnsi="Arial" w:cs="Arial"/>
          <w:color w:val="000000" w:themeColor="text1"/>
          <w:sz w:val="20"/>
          <w:szCs w:val="20"/>
        </w:rPr>
        <w:t> des cours d’eau </w:t>
      </w:r>
      <w:r w:rsidRPr="00E243E5">
        <w:rPr>
          <w:rStyle w:val="Accentuation"/>
          <w:rFonts w:ascii="Arial" w:hAnsi="Arial" w:cs="Arial"/>
          <w:color w:val="000000" w:themeColor="text1"/>
          <w:sz w:val="20"/>
          <w:szCs w:val="20"/>
          <w:bdr w:val="none" w:sz="0" w:space="0" w:color="auto" w:frame="1"/>
        </w:rPr>
        <w:t>« ne doivent pas créer de risque de déplacement du lit mineur, faire obstacle à l’écoulement des eaux superficielles ou aggraver les inondations ».</w:t>
      </w:r>
      <w:r w:rsidRPr="00E243E5">
        <w:rPr>
          <w:rFonts w:ascii="Arial" w:hAnsi="Arial" w:cs="Arial"/>
          <w:color w:val="000000" w:themeColor="text1"/>
          <w:sz w:val="20"/>
          <w:szCs w:val="20"/>
        </w:rPr>
        <w:t> (extrait article 11.2.II)</w:t>
      </w:r>
    </w:p>
    <w:p w14:paraId="5590186A" w14:textId="77777777" w:rsidR="00E243E5" w:rsidRPr="00E243E5" w:rsidRDefault="00E243E5" w:rsidP="00E243E5">
      <w:pPr>
        <w:spacing w:before="60" w:after="0" w:line="240" w:lineRule="auto"/>
        <w:jc w:val="both"/>
        <w:rPr>
          <w:rFonts w:ascii="Arial" w:eastAsia="Calibri" w:hAnsi="Arial" w:cs="Arial"/>
          <w:sz w:val="20"/>
          <w:szCs w:val="20"/>
        </w:rPr>
      </w:pPr>
      <w:r w:rsidRPr="00E243E5">
        <w:rPr>
          <w:rFonts w:ascii="Arial" w:eastAsia="Calibri" w:hAnsi="Arial" w:cs="Arial"/>
          <w:sz w:val="20"/>
          <w:szCs w:val="20"/>
        </w:rPr>
        <w:t>Les carrières, gravières, sablières sont des ICPE qui relèvent d'une législation complémentaire spécifique du Code de l'environnement, article L. 515-1 et suivants. L’organisme chargé du contrôle de l’activité est la DREAL (</w:t>
      </w:r>
      <w:r w:rsidRPr="00E243E5">
        <w:rPr>
          <w:rStyle w:val="Accentuation"/>
          <w:rFonts w:ascii="Arial" w:hAnsi="Arial" w:cs="Arial"/>
          <w:sz w:val="20"/>
          <w:szCs w:val="20"/>
          <w:shd w:val="clear" w:color="auto" w:fill="FFFFFF"/>
        </w:rPr>
        <w:t>Direction régionale de l'environnement, de l'aménagement et du logement).</w:t>
      </w:r>
      <w:r w:rsidRPr="00E243E5">
        <w:rPr>
          <w:rFonts w:ascii="Arial" w:hAnsi="Arial" w:cs="Arial"/>
          <w:sz w:val="20"/>
          <w:szCs w:val="20"/>
          <w:shd w:val="clear" w:color="auto" w:fill="FFFFFF"/>
        </w:rPr>
        <w:t> </w:t>
      </w:r>
    </w:p>
    <w:p w14:paraId="14058F06" w14:textId="77777777" w:rsidR="00E243E5" w:rsidRPr="00E243E5" w:rsidRDefault="00E243E5" w:rsidP="00E243E5">
      <w:pPr>
        <w:spacing w:after="0" w:line="240" w:lineRule="auto"/>
        <w:jc w:val="center"/>
        <w:rPr>
          <w:rFonts w:ascii="Arial" w:eastAsia="Calibri" w:hAnsi="Arial" w:cs="Arial"/>
          <w:b/>
          <w:sz w:val="24"/>
          <w:highlight w:val="yellow"/>
        </w:rPr>
      </w:pPr>
    </w:p>
    <w:p w14:paraId="344C9DF7" w14:textId="77777777" w:rsidR="00E243E5" w:rsidRPr="00E243E5" w:rsidRDefault="00E243E5" w:rsidP="00E243E5">
      <w:pPr>
        <w:spacing w:after="0" w:line="240" w:lineRule="auto"/>
        <w:jc w:val="both"/>
        <w:rPr>
          <w:rFonts w:ascii="Arial" w:eastAsia="Calibri" w:hAnsi="Arial" w:cs="Arial"/>
          <w:b/>
          <w:sz w:val="24"/>
          <w:szCs w:val="24"/>
        </w:rPr>
      </w:pPr>
      <w:r w:rsidRPr="00E243E5">
        <w:rPr>
          <w:rFonts w:ascii="Arial" w:hAnsi="Arial" w:cs="Arial"/>
          <w:b/>
          <w:color w:val="FFFFFF" w:themeColor="background1"/>
          <w:sz w:val="24"/>
          <w:szCs w:val="24"/>
          <w:highlight w:val="red"/>
        </w:rPr>
        <w:t>Doc. 4 </w:t>
      </w:r>
      <w:r w:rsidRPr="00E243E5">
        <w:rPr>
          <w:rFonts w:ascii="Arial" w:hAnsi="Arial" w:cs="Arial"/>
          <w:b/>
          <w:color w:val="FFFFFF" w:themeColor="background1"/>
          <w:sz w:val="24"/>
          <w:szCs w:val="24"/>
        </w:rPr>
        <w:t xml:space="preserve"> </w:t>
      </w:r>
      <w:r w:rsidRPr="00E243E5">
        <w:rPr>
          <w:rFonts w:ascii="Arial" w:eastAsia="Calibri" w:hAnsi="Arial" w:cs="Arial"/>
          <w:b/>
          <w:sz w:val="24"/>
          <w:szCs w:val="24"/>
        </w:rPr>
        <w:t>Le système de management environnemental</w:t>
      </w:r>
    </w:p>
    <w:p w14:paraId="7A54DCD3" w14:textId="77777777" w:rsidR="00E243E5" w:rsidRPr="00E243E5" w:rsidRDefault="00E243E5" w:rsidP="00E243E5">
      <w:pPr>
        <w:spacing w:before="120" w:after="0" w:line="240" w:lineRule="auto"/>
        <w:rPr>
          <w:rFonts w:ascii="Arial" w:eastAsia="Calibri" w:hAnsi="Arial" w:cs="Arial"/>
          <w:i/>
          <w:sz w:val="18"/>
          <w:szCs w:val="20"/>
        </w:rPr>
      </w:pPr>
      <w:r w:rsidRPr="00E243E5">
        <w:rPr>
          <w:rFonts w:ascii="Arial" w:hAnsi="Arial" w:cs="Arial"/>
          <w:noProof/>
        </w:rPr>
        <w:drawing>
          <wp:anchor distT="0" distB="0" distL="114300" distR="114300" simplePos="0" relativeHeight="251659264" behindDoc="0" locked="0" layoutInCell="1" allowOverlap="1" wp14:anchorId="657D9D2F" wp14:editId="1F040478">
            <wp:simplePos x="0" y="0"/>
            <wp:positionH relativeFrom="column">
              <wp:posOffset>5038725</wp:posOffset>
            </wp:positionH>
            <wp:positionV relativeFrom="paragraph">
              <wp:posOffset>123252</wp:posOffset>
            </wp:positionV>
            <wp:extent cx="1218565" cy="1198880"/>
            <wp:effectExtent l="19050" t="19050" r="19685" b="20320"/>
            <wp:wrapSquare wrapText="bothSides"/>
            <wp:docPr id="32" name="Image 32" descr="Une image contenant logo, Police,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logo, Police, clipart, Graphiqu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8565" cy="1198880"/>
                    </a:xfrm>
                    <a:prstGeom prst="rect">
                      <a:avLst/>
                    </a:prstGeom>
                    <a:noFill/>
                    <a:ln>
                      <a:solidFill>
                        <a:srgbClr val="92D050"/>
                      </a:solidFill>
                    </a:ln>
                  </pic:spPr>
                </pic:pic>
              </a:graphicData>
            </a:graphic>
            <wp14:sizeRelH relativeFrom="margin">
              <wp14:pctWidth>0</wp14:pctWidth>
            </wp14:sizeRelH>
            <wp14:sizeRelV relativeFrom="margin">
              <wp14:pctHeight>0</wp14:pctHeight>
            </wp14:sizeRelV>
          </wp:anchor>
        </w:drawing>
      </w:r>
      <w:r w:rsidRPr="00E243E5">
        <w:rPr>
          <w:rFonts w:ascii="Arial" w:eastAsia="Calibri" w:hAnsi="Arial" w:cs="Arial"/>
          <w:i/>
          <w:sz w:val="18"/>
          <w:szCs w:val="20"/>
        </w:rPr>
        <w:t xml:space="preserve">Source </w:t>
      </w:r>
      <w:hyperlink r:id="rId18" w:history="1">
        <w:r w:rsidRPr="00E243E5">
          <w:rPr>
            <w:rFonts w:ascii="Arial" w:eastAsia="Calibri" w:hAnsi="Arial" w:cs="Arial"/>
            <w:i/>
            <w:sz w:val="18"/>
            <w:szCs w:val="20"/>
          </w:rPr>
          <w:t>http://www.qse-developpement.com/iso-14001</w:t>
        </w:r>
      </w:hyperlink>
      <w:r w:rsidRPr="00E243E5">
        <w:rPr>
          <w:rFonts w:ascii="Arial" w:eastAsia="Calibri" w:hAnsi="Arial" w:cs="Arial"/>
          <w:i/>
          <w:sz w:val="18"/>
          <w:szCs w:val="20"/>
        </w:rPr>
        <w:t xml:space="preserve"> </w:t>
      </w:r>
    </w:p>
    <w:p w14:paraId="24A89186" w14:textId="77777777" w:rsidR="00E243E5" w:rsidRPr="00E243E5" w:rsidRDefault="00E243E5" w:rsidP="00E243E5">
      <w:pPr>
        <w:spacing w:before="120" w:after="0" w:line="240" w:lineRule="auto"/>
        <w:jc w:val="both"/>
        <w:rPr>
          <w:rFonts w:ascii="Arial" w:eastAsia="Calibri" w:hAnsi="Arial" w:cs="Arial"/>
          <w:sz w:val="20"/>
          <w:szCs w:val="20"/>
        </w:rPr>
      </w:pPr>
      <w:bookmarkStart w:id="1" w:name="_Hlk153231888"/>
      <w:r w:rsidRPr="00E243E5">
        <w:rPr>
          <w:rFonts w:ascii="Arial" w:eastAsia="Calibri" w:hAnsi="Arial" w:cs="Arial"/>
          <w:sz w:val="20"/>
          <w:szCs w:val="20"/>
        </w:rPr>
        <w:t>La certification ISO 14001 Système de management environnemental est un référentiel international de procédures pour l’amélioration de la performance environnementale. Cette certification va plus loin qu’une conformité légale. La version 2015</w:t>
      </w:r>
      <w:r w:rsidRPr="00E243E5">
        <w:rPr>
          <w:rFonts w:ascii="Arial" w:eastAsia="Times New Roman" w:hAnsi="Arial" w:cs="Arial"/>
          <w:sz w:val="20"/>
          <w:szCs w:val="20"/>
        </w:rPr>
        <w:t xml:space="preserve"> regroupe un ensemble d’actions concrètes telles que réduire l'impact des activités de l’entreprise, réduire la consommation d'énergie, supprimer les rejets polluants, trier les déchets, préserver la biodiversité…</w:t>
      </w:r>
      <w:r w:rsidRPr="00E243E5">
        <w:rPr>
          <w:rFonts w:ascii="Arial" w:eastAsia="Calibri" w:hAnsi="Arial" w:cs="Arial"/>
          <w:sz w:val="20"/>
          <w:szCs w:val="20"/>
        </w:rPr>
        <w:t xml:space="preserve"> </w:t>
      </w:r>
    </w:p>
    <w:bookmarkEnd w:id="1"/>
    <w:p w14:paraId="71E399B8" w14:textId="77777777" w:rsidR="00E243E5" w:rsidRPr="00E243E5" w:rsidRDefault="00E243E5" w:rsidP="00E243E5">
      <w:pPr>
        <w:spacing w:before="240" w:after="120" w:line="240" w:lineRule="auto"/>
        <w:jc w:val="both"/>
        <w:rPr>
          <w:rFonts w:ascii="Arial" w:eastAsia="Calibri" w:hAnsi="Arial" w:cs="Arial"/>
          <w:b/>
        </w:rPr>
      </w:pPr>
      <w:r w:rsidRPr="00E243E5">
        <w:rPr>
          <w:rFonts w:ascii="Arial" w:eastAsia="Calibri" w:hAnsi="Arial" w:cs="Arial"/>
          <w:b/>
        </w:rPr>
        <w:t>Les plus de l’ISO 14001</w:t>
      </w:r>
    </w:p>
    <w:p w14:paraId="438D1218" w14:textId="77777777" w:rsidR="00E243E5" w:rsidRPr="00E243E5" w:rsidRDefault="00E243E5" w:rsidP="00E243E5">
      <w:pPr>
        <w:numPr>
          <w:ilvl w:val="0"/>
          <w:numId w:val="3"/>
        </w:numPr>
        <w:spacing w:after="0" w:line="240" w:lineRule="auto"/>
        <w:ind w:left="284" w:hanging="284"/>
        <w:jc w:val="both"/>
        <w:rPr>
          <w:rFonts w:ascii="Arial" w:eastAsia="Calibri" w:hAnsi="Arial" w:cs="Arial"/>
          <w:sz w:val="20"/>
          <w:szCs w:val="20"/>
        </w:rPr>
      </w:pPr>
      <w:r w:rsidRPr="00E243E5">
        <w:rPr>
          <w:rFonts w:ascii="Arial" w:eastAsia="Calibri" w:hAnsi="Arial" w:cs="Arial"/>
          <w:sz w:val="20"/>
          <w:szCs w:val="20"/>
        </w:rPr>
        <w:t>L’importance accrue du management environnemental dans les processus de planification stratégique de l’organisation.</w:t>
      </w:r>
    </w:p>
    <w:p w14:paraId="15FBEC14" w14:textId="77777777" w:rsidR="00E243E5" w:rsidRPr="00E243E5" w:rsidRDefault="00E243E5" w:rsidP="00E243E5">
      <w:pPr>
        <w:numPr>
          <w:ilvl w:val="0"/>
          <w:numId w:val="3"/>
        </w:numPr>
        <w:spacing w:after="0" w:line="240" w:lineRule="auto"/>
        <w:ind w:left="284" w:hanging="284"/>
        <w:jc w:val="both"/>
        <w:rPr>
          <w:rFonts w:ascii="Arial" w:eastAsia="Calibri" w:hAnsi="Arial" w:cs="Arial"/>
          <w:sz w:val="20"/>
          <w:szCs w:val="20"/>
        </w:rPr>
      </w:pPr>
      <w:r w:rsidRPr="00E243E5">
        <w:rPr>
          <w:rFonts w:ascii="Arial" w:eastAsia="Calibri" w:hAnsi="Arial" w:cs="Arial"/>
          <w:sz w:val="20"/>
          <w:szCs w:val="20"/>
        </w:rPr>
        <w:t>Une plus grande focalisation sur le rôle de la direction.</w:t>
      </w:r>
    </w:p>
    <w:p w14:paraId="7C9C6812" w14:textId="77777777" w:rsidR="00E243E5" w:rsidRPr="00E243E5" w:rsidRDefault="00E243E5" w:rsidP="00E243E5">
      <w:pPr>
        <w:numPr>
          <w:ilvl w:val="0"/>
          <w:numId w:val="3"/>
        </w:numPr>
        <w:spacing w:after="0" w:line="240" w:lineRule="auto"/>
        <w:ind w:left="284" w:hanging="284"/>
        <w:jc w:val="both"/>
        <w:rPr>
          <w:rFonts w:ascii="Arial" w:eastAsia="Calibri" w:hAnsi="Arial" w:cs="Arial"/>
          <w:sz w:val="20"/>
          <w:szCs w:val="20"/>
        </w:rPr>
      </w:pPr>
      <w:r w:rsidRPr="00E243E5">
        <w:rPr>
          <w:rFonts w:ascii="Arial" w:eastAsia="Calibri" w:hAnsi="Arial" w:cs="Arial"/>
          <w:sz w:val="20"/>
          <w:szCs w:val="20"/>
        </w:rPr>
        <w:t>L’introduction d’initiatives proactives pour préserver l’environnement de tout préjudice et toute dégradation, telles que l’utilisation de ressources durables et l’atténuation des effets du changement climatique.</w:t>
      </w:r>
    </w:p>
    <w:p w14:paraId="17516C35" w14:textId="77777777" w:rsidR="00E243E5" w:rsidRPr="00E243E5" w:rsidRDefault="00E243E5" w:rsidP="00E243E5">
      <w:pPr>
        <w:numPr>
          <w:ilvl w:val="0"/>
          <w:numId w:val="3"/>
        </w:numPr>
        <w:spacing w:after="0" w:line="240" w:lineRule="auto"/>
        <w:ind w:left="284" w:hanging="284"/>
        <w:jc w:val="both"/>
        <w:rPr>
          <w:rFonts w:ascii="Arial" w:eastAsia="Calibri" w:hAnsi="Arial" w:cs="Arial"/>
          <w:sz w:val="20"/>
          <w:szCs w:val="20"/>
        </w:rPr>
      </w:pPr>
      <w:r w:rsidRPr="00E243E5">
        <w:rPr>
          <w:rFonts w:ascii="Arial" w:eastAsia="Calibri" w:hAnsi="Arial" w:cs="Arial"/>
          <w:sz w:val="20"/>
          <w:szCs w:val="20"/>
        </w:rPr>
        <w:t>L’introduction de la notion d’amélioration de la performance environnementale.</w:t>
      </w:r>
    </w:p>
    <w:p w14:paraId="29B0F5DC" w14:textId="77777777" w:rsidR="00E243E5" w:rsidRPr="00E243E5" w:rsidRDefault="00E243E5" w:rsidP="00E243E5">
      <w:pPr>
        <w:numPr>
          <w:ilvl w:val="0"/>
          <w:numId w:val="3"/>
        </w:numPr>
        <w:spacing w:after="0" w:line="240" w:lineRule="auto"/>
        <w:ind w:left="284" w:hanging="284"/>
        <w:jc w:val="both"/>
        <w:rPr>
          <w:rFonts w:ascii="Arial" w:eastAsia="Calibri" w:hAnsi="Arial" w:cs="Arial"/>
          <w:sz w:val="20"/>
          <w:szCs w:val="20"/>
        </w:rPr>
      </w:pPr>
      <w:r w:rsidRPr="00E243E5">
        <w:rPr>
          <w:rFonts w:ascii="Arial" w:eastAsia="Calibri" w:hAnsi="Arial" w:cs="Arial"/>
          <w:sz w:val="20"/>
          <w:szCs w:val="20"/>
        </w:rPr>
        <w:t>L’adoption d’une perspective de cycle de vie pour aborder les aspects environnementaux.</w:t>
      </w:r>
    </w:p>
    <w:p w14:paraId="04D4D324" w14:textId="77777777" w:rsidR="00E243E5" w:rsidRPr="00E243E5" w:rsidRDefault="00E243E5" w:rsidP="00E243E5">
      <w:pPr>
        <w:numPr>
          <w:ilvl w:val="0"/>
          <w:numId w:val="3"/>
        </w:numPr>
        <w:spacing w:after="0" w:line="240" w:lineRule="auto"/>
        <w:ind w:left="284" w:hanging="284"/>
        <w:jc w:val="both"/>
        <w:rPr>
          <w:rFonts w:ascii="Arial" w:eastAsia="Calibri" w:hAnsi="Arial" w:cs="Arial"/>
          <w:sz w:val="20"/>
          <w:szCs w:val="20"/>
        </w:rPr>
      </w:pPr>
      <w:r w:rsidRPr="00E243E5">
        <w:rPr>
          <w:rFonts w:ascii="Arial" w:eastAsia="Calibri" w:hAnsi="Arial" w:cs="Arial"/>
          <w:sz w:val="20"/>
          <w:szCs w:val="20"/>
        </w:rPr>
        <w:t>L’introduction d’une stratégie de communication.</w:t>
      </w:r>
    </w:p>
    <w:p w14:paraId="73B4B3DD" w14:textId="77777777" w:rsidR="00E243E5" w:rsidRPr="00E243E5" w:rsidRDefault="00E243E5" w:rsidP="00E243E5">
      <w:pPr>
        <w:spacing w:before="240" w:after="120" w:line="240" w:lineRule="auto"/>
        <w:jc w:val="both"/>
        <w:rPr>
          <w:rFonts w:ascii="Arial" w:eastAsia="Calibri" w:hAnsi="Arial" w:cs="Arial"/>
          <w:b/>
        </w:rPr>
      </w:pPr>
      <w:r w:rsidRPr="00E243E5">
        <w:rPr>
          <w:rFonts w:ascii="Arial" w:eastAsia="Calibri" w:hAnsi="Arial" w:cs="Arial"/>
          <w:b/>
        </w:rPr>
        <w:t>Les bénéfices pour l’entreprise</w:t>
      </w:r>
    </w:p>
    <w:p w14:paraId="7665106E" w14:textId="77777777" w:rsidR="00E243E5" w:rsidRPr="00E243E5" w:rsidRDefault="00E243E5" w:rsidP="00E243E5">
      <w:pPr>
        <w:numPr>
          <w:ilvl w:val="0"/>
          <w:numId w:val="4"/>
        </w:numPr>
        <w:spacing w:after="0" w:line="240" w:lineRule="auto"/>
        <w:contextualSpacing/>
        <w:jc w:val="both"/>
        <w:rPr>
          <w:rFonts w:ascii="Arial" w:eastAsia="Calibri" w:hAnsi="Arial" w:cs="Arial"/>
          <w:sz w:val="20"/>
          <w:szCs w:val="20"/>
        </w:rPr>
      </w:pPr>
      <w:bookmarkStart w:id="2" w:name="_Hlk153231819"/>
      <w:r w:rsidRPr="00E243E5">
        <w:rPr>
          <w:rFonts w:ascii="Arial" w:eastAsia="Calibri" w:hAnsi="Arial" w:cs="Arial"/>
          <w:sz w:val="20"/>
          <w:szCs w:val="20"/>
        </w:rPr>
        <w:t>Le management de l’environnement s’inscrit pleinement dans la stratégie de l’entreprise : la veille informationnelle est systématique, l’image de l’entreprise est valorisée.</w:t>
      </w:r>
    </w:p>
    <w:p w14:paraId="1E344293" w14:textId="77777777" w:rsidR="00E243E5" w:rsidRPr="00E243E5" w:rsidRDefault="00E243E5" w:rsidP="00E243E5">
      <w:pPr>
        <w:numPr>
          <w:ilvl w:val="0"/>
          <w:numId w:val="4"/>
        </w:numPr>
        <w:spacing w:before="120" w:after="0" w:line="240" w:lineRule="auto"/>
        <w:contextualSpacing/>
        <w:jc w:val="both"/>
        <w:rPr>
          <w:rFonts w:ascii="Arial" w:eastAsia="Calibri" w:hAnsi="Arial" w:cs="Arial"/>
          <w:sz w:val="20"/>
          <w:szCs w:val="20"/>
        </w:rPr>
      </w:pPr>
      <w:r w:rsidRPr="00E243E5">
        <w:rPr>
          <w:rFonts w:ascii="Arial" w:eastAsia="Calibri" w:hAnsi="Arial" w:cs="Arial"/>
          <w:sz w:val="20"/>
          <w:szCs w:val="20"/>
        </w:rPr>
        <w:t>Cette certification est reconnue par les parties prenantes de la PME car elle répond à leurs attentes. Ainsi favorise-t-elle l’accès aux marchés publics.</w:t>
      </w:r>
    </w:p>
    <w:p w14:paraId="55EAC98F" w14:textId="77777777" w:rsidR="00E243E5" w:rsidRPr="00E243E5" w:rsidRDefault="00E243E5" w:rsidP="00E243E5">
      <w:pPr>
        <w:numPr>
          <w:ilvl w:val="0"/>
          <w:numId w:val="4"/>
        </w:numPr>
        <w:spacing w:before="120" w:after="0" w:line="240" w:lineRule="auto"/>
        <w:contextualSpacing/>
        <w:jc w:val="both"/>
        <w:rPr>
          <w:rFonts w:ascii="Arial" w:eastAsia="Calibri" w:hAnsi="Arial" w:cs="Arial"/>
          <w:sz w:val="20"/>
          <w:szCs w:val="20"/>
        </w:rPr>
      </w:pPr>
      <w:r w:rsidRPr="00E243E5">
        <w:rPr>
          <w:rFonts w:ascii="Arial" w:eastAsia="Calibri" w:hAnsi="Arial" w:cs="Arial"/>
          <w:sz w:val="20"/>
          <w:szCs w:val="20"/>
        </w:rPr>
        <w:t>Les entreprises certifiées ISO 14001 qui répondent aux exigences du système européen de management de l’environnement et d’audit bénéficient de la certification SMEA.</w:t>
      </w:r>
    </w:p>
    <w:p w14:paraId="2B4349B8" w14:textId="77777777" w:rsidR="00E243E5" w:rsidRPr="00E243E5" w:rsidRDefault="00E243E5" w:rsidP="00E243E5">
      <w:pPr>
        <w:numPr>
          <w:ilvl w:val="0"/>
          <w:numId w:val="4"/>
        </w:numPr>
        <w:spacing w:before="120" w:after="0" w:line="240" w:lineRule="auto"/>
        <w:contextualSpacing/>
        <w:jc w:val="both"/>
        <w:rPr>
          <w:rFonts w:ascii="Arial" w:eastAsia="Calibri" w:hAnsi="Arial" w:cs="Arial"/>
          <w:sz w:val="20"/>
          <w:szCs w:val="20"/>
        </w:rPr>
      </w:pPr>
      <w:r w:rsidRPr="00E243E5">
        <w:rPr>
          <w:rFonts w:ascii="Arial" w:eastAsia="Calibri" w:hAnsi="Arial" w:cs="Arial"/>
          <w:sz w:val="20"/>
          <w:szCs w:val="20"/>
        </w:rPr>
        <w:t>Le contrôle des IPCE obligatoire tous les 5 ans se fait tous les 10 ans pour les entreprises certifiées ISO 14001. Les entreprises ayant mis en place un système européen de management de l’environnement et d’audit (SMEA) en sont dispensées.</w:t>
      </w:r>
    </w:p>
    <w:p w14:paraId="4F6FD85B" w14:textId="77777777" w:rsidR="00E243E5" w:rsidRPr="00E243E5" w:rsidRDefault="00E243E5" w:rsidP="00E243E5">
      <w:pPr>
        <w:numPr>
          <w:ilvl w:val="0"/>
          <w:numId w:val="4"/>
        </w:numPr>
        <w:spacing w:before="240" w:after="0" w:line="240" w:lineRule="auto"/>
        <w:contextualSpacing/>
        <w:jc w:val="both"/>
        <w:rPr>
          <w:rFonts w:ascii="Arial" w:eastAsia="Calibri" w:hAnsi="Arial" w:cs="Arial"/>
          <w:sz w:val="20"/>
          <w:szCs w:val="20"/>
        </w:rPr>
      </w:pPr>
      <w:r w:rsidRPr="00E243E5">
        <w:rPr>
          <w:rFonts w:ascii="Arial" w:eastAsia="Calibri" w:hAnsi="Arial" w:cs="Arial"/>
          <w:sz w:val="20"/>
          <w:szCs w:val="20"/>
        </w:rPr>
        <w:t>La TGAP Taxe générale sur les activités polluantes est réduite.</w:t>
      </w:r>
    </w:p>
    <w:p w14:paraId="10CC03F6" w14:textId="77777777" w:rsidR="00E243E5" w:rsidRPr="00E243E5" w:rsidRDefault="00E243E5" w:rsidP="00E243E5">
      <w:pPr>
        <w:numPr>
          <w:ilvl w:val="0"/>
          <w:numId w:val="4"/>
        </w:numPr>
        <w:spacing w:before="120" w:after="0" w:line="240" w:lineRule="auto"/>
        <w:contextualSpacing/>
        <w:jc w:val="both"/>
        <w:rPr>
          <w:rFonts w:ascii="Arial" w:eastAsia="Calibri" w:hAnsi="Arial" w:cs="Arial"/>
          <w:sz w:val="20"/>
          <w:szCs w:val="20"/>
        </w:rPr>
      </w:pPr>
      <w:r w:rsidRPr="00E243E5">
        <w:rPr>
          <w:rFonts w:ascii="Arial" w:eastAsia="Calibri" w:hAnsi="Arial" w:cs="Arial"/>
          <w:sz w:val="20"/>
          <w:szCs w:val="20"/>
        </w:rPr>
        <w:t>La cohésion interne est facilitée par des relations « écologiques ». À ce titre, la  parité des statuts hommes/femmes est un élément important du management de l’environnement</w:t>
      </w:r>
    </w:p>
    <w:bookmarkEnd w:id="2"/>
    <w:p w14:paraId="7DC0B33B" w14:textId="77777777" w:rsidR="00E243E5" w:rsidRPr="00E243E5" w:rsidRDefault="00E243E5" w:rsidP="00E243E5">
      <w:pPr>
        <w:spacing w:after="0" w:line="240" w:lineRule="auto"/>
        <w:jc w:val="both"/>
        <w:rPr>
          <w:rFonts w:ascii="Arial" w:eastAsia="Calibri" w:hAnsi="Arial" w:cs="Arial"/>
          <w:sz w:val="24"/>
        </w:rPr>
      </w:pPr>
    </w:p>
    <w:p w14:paraId="64A8C77B" w14:textId="77777777" w:rsidR="00E243E5" w:rsidRPr="00E243E5" w:rsidRDefault="00E243E5" w:rsidP="00E243E5">
      <w:pPr>
        <w:spacing w:after="0" w:line="240" w:lineRule="auto"/>
        <w:jc w:val="both"/>
        <w:rPr>
          <w:rFonts w:ascii="Arial" w:eastAsia="Calibri" w:hAnsi="Arial" w:cs="Arial"/>
          <w:b/>
          <w:sz w:val="24"/>
        </w:rPr>
      </w:pPr>
      <w:r w:rsidRPr="00E243E5">
        <w:rPr>
          <w:rFonts w:ascii="Arial" w:eastAsia="Calibri" w:hAnsi="Arial" w:cs="Arial"/>
          <w:b/>
          <w:sz w:val="24"/>
        </w:rPr>
        <w:t>Modalités</w:t>
      </w:r>
    </w:p>
    <w:p w14:paraId="39F9AD00" w14:textId="77777777" w:rsidR="00E243E5" w:rsidRPr="00E243E5" w:rsidRDefault="00E243E5" w:rsidP="00E243E5">
      <w:pPr>
        <w:spacing w:before="120" w:after="0" w:line="240" w:lineRule="auto"/>
        <w:jc w:val="both"/>
        <w:rPr>
          <w:rFonts w:ascii="Arial" w:eastAsia="Calibri" w:hAnsi="Arial" w:cs="Arial"/>
          <w:sz w:val="20"/>
          <w:szCs w:val="20"/>
        </w:rPr>
      </w:pPr>
      <w:r w:rsidRPr="00E243E5">
        <w:rPr>
          <w:rFonts w:ascii="Arial" w:eastAsia="Times New Roman" w:hAnsi="Arial" w:cs="Arial"/>
          <w:sz w:val="20"/>
          <w:szCs w:val="20"/>
        </w:rPr>
        <w:t>Á partir de l’analyse de ses activités et de sa situation règlementaire, l’entreprise définit ses objectifs et ses plans d'actions à court, moyen et long terme.</w:t>
      </w:r>
      <w:r w:rsidRPr="00E243E5">
        <w:rPr>
          <w:rFonts w:ascii="Arial" w:eastAsia="Calibri" w:hAnsi="Arial" w:cs="Arial"/>
          <w:sz w:val="20"/>
          <w:szCs w:val="20"/>
        </w:rPr>
        <w:t xml:space="preserve"> </w:t>
      </w:r>
    </w:p>
    <w:p w14:paraId="3A6EA162" w14:textId="77777777" w:rsidR="00E243E5" w:rsidRPr="00E243E5" w:rsidRDefault="00E243E5" w:rsidP="00E243E5">
      <w:pPr>
        <w:spacing w:before="120" w:after="0" w:line="240" w:lineRule="auto"/>
        <w:jc w:val="both"/>
        <w:rPr>
          <w:rFonts w:ascii="Arial" w:eastAsia="Calibri" w:hAnsi="Arial" w:cs="Arial"/>
          <w:sz w:val="20"/>
          <w:szCs w:val="20"/>
        </w:rPr>
      </w:pPr>
      <w:r w:rsidRPr="00E243E5">
        <w:rPr>
          <w:rFonts w:ascii="Arial" w:eastAsia="Calibri" w:hAnsi="Arial" w:cs="Arial"/>
          <w:sz w:val="20"/>
          <w:szCs w:val="20"/>
        </w:rPr>
        <w:t>Cette certification</w:t>
      </w:r>
      <w:r w:rsidRPr="00E243E5">
        <w:rPr>
          <w:rFonts w:ascii="Arial" w:eastAsia="Times New Roman" w:hAnsi="Arial" w:cs="Arial"/>
          <w:sz w:val="20"/>
          <w:szCs w:val="20"/>
        </w:rPr>
        <w:t xml:space="preserve"> n'impose pas de niveaux de performance à atteindre, ni de seuils règlementaires ou de niveau de conformité à atteindre. En d’autres termes l’ISO 14001 valide une démarche d’amélioration de la qualité environnementale, non un résultat. La mise en place d’une démarche de certification ISO 14001 dure en moyenne un an. </w:t>
      </w:r>
    </w:p>
    <w:p w14:paraId="4131F1E9" w14:textId="77777777" w:rsidR="00E243E5" w:rsidRDefault="00E243E5" w:rsidP="00E243E5">
      <w:pPr>
        <w:spacing w:after="0" w:line="240" w:lineRule="auto"/>
        <w:jc w:val="both"/>
        <w:rPr>
          <w:rFonts w:ascii="Arial" w:eastAsia="Calibri" w:hAnsi="Arial" w:cs="Arial"/>
        </w:rPr>
      </w:pPr>
    </w:p>
    <w:p w14:paraId="4E184A62" w14:textId="77777777" w:rsidR="00E243E5" w:rsidRDefault="00E243E5" w:rsidP="00E243E5">
      <w:pPr>
        <w:spacing w:after="0" w:line="240" w:lineRule="auto"/>
        <w:jc w:val="both"/>
        <w:rPr>
          <w:rFonts w:ascii="Arial" w:eastAsia="Calibri" w:hAnsi="Arial" w:cs="Arial"/>
        </w:rPr>
      </w:pPr>
    </w:p>
    <w:p w14:paraId="7E9BF191" w14:textId="77777777" w:rsidR="00E243E5" w:rsidRDefault="00E243E5" w:rsidP="00E243E5">
      <w:pPr>
        <w:spacing w:after="0" w:line="240" w:lineRule="auto"/>
        <w:jc w:val="both"/>
        <w:rPr>
          <w:rFonts w:ascii="Arial" w:eastAsia="Calibri" w:hAnsi="Arial" w:cs="Arial"/>
        </w:rPr>
      </w:pPr>
    </w:p>
    <w:p w14:paraId="41D5B420" w14:textId="77777777" w:rsidR="00E243E5" w:rsidRDefault="00E243E5" w:rsidP="00E243E5">
      <w:pPr>
        <w:spacing w:after="0" w:line="240" w:lineRule="auto"/>
        <w:jc w:val="both"/>
        <w:rPr>
          <w:rFonts w:ascii="Arial" w:eastAsia="Calibri" w:hAnsi="Arial" w:cs="Arial"/>
        </w:rPr>
      </w:pPr>
    </w:p>
    <w:p w14:paraId="532F5AD5" w14:textId="77777777" w:rsidR="00E243E5" w:rsidRDefault="00E243E5" w:rsidP="00E243E5">
      <w:pPr>
        <w:spacing w:after="0" w:line="240" w:lineRule="auto"/>
        <w:jc w:val="both"/>
        <w:rPr>
          <w:rFonts w:ascii="Arial" w:eastAsia="Calibri" w:hAnsi="Arial" w:cs="Arial"/>
        </w:rPr>
      </w:pPr>
    </w:p>
    <w:p w14:paraId="0A1CBDB1" w14:textId="77777777" w:rsidR="00E243E5" w:rsidRDefault="00E243E5" w:rsidP="00E243E5">
      <w:pPr>
        <w:spacing w:after="0" w:line="240" w:lineRule="auto"/>
        <w:jc w:val="both"/>
        <w:rPr>
          <w:rFonts w:ascii="Arial" w:eastAsia="Calibri" w:hAnsi="Arial" w:cs="Arial"/>
        </w:rPr>
      </w:pPr>
    </w:p>
    <w:p w14:paraId="78F09BD2" w14:textId="77777777" w:rsidR="00E243E5" w:rsidRDefault="00E243E5" w:rsidP="00E243E5">
      <w:pPr>
        <w:spacing w:after="0" w:line="240" w:lineRule="auto"/>
        <w:jc w:val="both"/>
        <w:rPr>
          <w:rFonts w:ascii="Arial" w:eastAsia="Calibri" w:hAnsi="Arial" w:cs="Arial"/>
        </w:rPr>
      </w:pPr>
    </w:p>
    <w:p w14:paraId="75B160E6" w14:textId="77777777" w:rsidR="00E243E5" w:rsidRDefault="00E243E5" w:rsidP="00E243E5">
      <w:pPr>
        <w:spacing w:after="0" w:line="240" w:lineRule="auto"/>
        <w:jc w:val="both"/>
        <w:rPr>
          <w:rFonts w:ascii="Arial" w:eastAsia="Calibri" w:hAnsi="Arial" w:cs="Arial"/>
        </w:rPr>
      </w:pPr>
    </w:p>
    <w:p w14:paraId="003CC193" w14:textId="4F058DFF" w:rsidR="00E243E5" w:rsidRPr="00E243E5" w:rsidRDefault="00E243E5" w:rsidP="00E243E5">
      <w:pPr>
        <w:spacing w:after="0" w:line="240" w:lineRule="auto"/>
        <w:jc w:val="both"/>
        <w:rPr>
          <w:rFonts w:ascii="Arial" w:eastAsia="Calibri" w:hAnsi="Arial" w:cs="Arial"/>
          <w:b/>
          <w:bCs/>
          <w:sz w:val="24"/>
          <w:szCs w:val="24"/>
        </w:rPr>
      </w:pPr>
      <w:r w:rsidRPr="00E243E5">
        <w:rPr>
          <w:rFonts w:ascii="Arial" w:eastAsia="Calibri" w:hAnsi="Arial" w:cs="Arial"/>
          <w:b/>
          <w:bCs/>
          <w:sz w:val="24"/>
          <w:szCs w:val="24"/>
        </w:rPr>
        <w:lastRenderedPageBreak/>
        <w:t>Réponses</w:t>
      </w:r>
    </w:p>
    <w:p w14:paraId="341A5229" w14:textId="77777777" w:rsidR="00E243E5" w:rsidRPr="00E243E5" w:rsidRDefault="00E243E5" w:rsidP="00E243E5">
      <w:pPr>
        <w:spacing w:after="0" w:line="240" w:lineRule="auto"/>
        <w:jc w:val="both"/>
        <w:rPr>
          <w:rFonts w:ascii="Arial" w:eastAsia="Calibri" w:hAnsi="Arial" w:cs="Arial"/>
        </w:rPr>
      </w:pPr>
    </w:p>
    <w:p w14:paraId="699F9504" w14:textId="77777777" w:rsidR="00E243E5" w:rsidRDefault="00E243E5" w:rsidP="00E243E5">
      <w:pPr>
        <w:pStyle w:val="Paragraphedeliste"/>
        <w:numPr>
          <w:ilvl w:val="0"/>
          <w:numId w:val="9"/>
        </w:numPr>
        <w:spacing w:before="120" w:after="0" w:line="240" w:lineRule="auto"/>
        <w:jc w:val="both"/>
        <w:rPr>
          <w:rFonts w:ascii="Arial" w:eastAsia="Calibri" w:hAnsi="Arial" w:cs="Arial"/>
        </w:rPr>
      </w:pPr>
      <w:r w:rsidRPr="00E243E5">
        <w:rPr>
          <w:rFonts w:ascii="Arial" w:eastAsia="Calibri" w:hAnsi="Arial" w:cs="Arial"/>
        </w:rPr>
        <w:t>Á partir du plan de prévention des risques (</w:t>
      </w:r>
      <w:r w:rsidRPr="00E243E5">
        <w:rPr>
          <w:rFonts w:ascii="Arial" w:eastAsia="Calibri" w:hAnsi="Arial" w:cs="Arial"/>
          <w:b/>
          <w:bCs/>
        </w:rPr>
        <w:t>document 1</w:t>
      </w:r>
      <w:r w:rsidRPr="00E243E5">
        <w:rPr>
          <w:rFonts w:ascii="Arial" w:eastAsia="Calibri" w:hAnsi="Arial" w:cs="Arial"/>
        </w:rPr>
        <w:t xml:space="preserve">) et de vos connaissances, expliquez quels sont les risques liés à l’exploitation de la gravière située au bord du Fier à Dingy-Saint-Clair. </w:t>
      </w:r>
    </w:p>
    <w:p w14:paraId="0EFD4C9B" w14:textId="77777777" w:rsidR="00E243E5" w:rsidRDefault="00E243E5" w:rsidP="00E243E5">
      <w:pPr>
        <w:spacing w:before="120" w:after="0" w:line="240" w:lineRule="auto"/>
        <w:jc w:val="both"/>
        <w:rPr>
          <w:rFonts w:ascii="Arial" w:eastAsia="Calibri" w:hAnsi="Arial" w:cs="Arial"/>
        </w:rPr>
      </w:pPr>
    </w:p>
    <w:p w14:paraId="0AC85D98" w14:textId="77777777" w:rsidR="00E243E5" w:rsidRDefault="00E243E5" w:rsidP="00E243E5">
      <w:pPr>
        <w:spacing w:before="120" w:after="0" w:line="240" w:lineRule="auto"/>
        <w:jc w:val="both"/>
        <w:rPr>
          <w:rFonts w:ascii="Arial" w:eastAsia="Calibri" w:hAnsi="Arial" w:cs="Arial"/>
        </w:rPr>
      </w:pPr>
    </w:p>
    <w:p w14:paraId="03CD2212" w14:textId="77777777" w:rsidR="00E243E5" w:rsidRDefault="00E243E5" w:rsidP="00E243E5">
      <w:pPr>
        <w:spacing w:before="120" w:after="0" w:line="240" w:lineRule="auto"/>
        <w:jc w:val="both"/>
        <w:rPr>
          <w:rFonts w:ascii="Arial" w:eastAsia="Calibri" w:hAnsi="Arial" w:cs="Arial"/>
        </w:rPr>
      </w:pPr>
    </w:p>
    <w:p w14:paraId="04D94C4B" w14:textId="77777777" w:rsidR="00E243E5" w:rsidRDefault="00E243E5" w:rsidP="00E243E5">
      <w:pPr>
        <w:spacing w:before="120" w:after="0" w:line="240" w:lineRule="auto"/>
        <w:jc w:val="both"/>
        <w:rPr>
          <w:rFonts w:ascii="Arial" w:eastAsia="Calibri" w:hAnsi="Arial" w:cs="Arial"/>
        </w:rPr>
      </w:pPr>
    </w:p>
    <w:p w14:paraId="6FF429B9" w14:textId="77777777" w:rsidR="00E243E5" w:rsidRDefault="00E243E5" w:rsidP="00E243E5">
      <w:pPr>
        <w:spacing w:before="120" w:after="0" w:line="240" w:lineRule="auto"/>
        <w:jc w:val="both"/>
        <w:rPr>
          <w:rFonts w:ascii="Arial" w:eastAsia="Calibri" w:hAnsi="Arial" w:cs="Arial"/>
        </w:rPr>
      </w:pPr>
    </w:p>
    <w:p w14:paraId="409C9ED4" w14:textId="77777777" w:rsidR="00E243E5" w:rsidRPr="00E243E5" w:rsidRDefault="00E243E5" w:rsidP="00E243E5">
      <w:pPr>
        <w:spacing w:before="120" w:after="0" w:line="240" w:lineRule="auto"/>
        <w:jc w:val="both"/>
        <w:rPr>
          <w:rFonts w:ascii="Arial" w:eastAsia="Calibri" w:hAnsi="Arial" w:cs="Arial"/>
        </w:rPr>
      </w:pPr>
    </w:p>
    <w:p w14:paraId="2A249E2F" w14:textId="77777777" w:rsidR="00E243E5" w:rsidRDefault="00E243E5" w:rsidP="00E243E5">
      <w:pPr>
        <w:pStyle w:val="Paragraphedeliste"/>
        <w:numPr>
          <w:ilvl w:val="0"/>
          <w:numId w:val="9"/>
        </w:numPr>
        <w:spacing w:before="120" w:after="0" w:line="240" w:lineRule="auto"/>
        <w:jc w:val="both"/>
        <w:rPr>
          <w:rFonts w:ascii="Arial" w:eastAsia="Calibri" w:hAnsi="Arial" w:cs="Arial"/>
        </w:rPr>
      </w:pPr>
      <w:r w:rsidRPr="00E243E5">
        <w:rPr>
          <w:rFonts w:ascii="Arial" w:eastAsia="Calibri" w:hAnsi="Arial" w:cs="Arial"/>
        </w:rPr>
        <w:t>Le dépôt pétrolier de Vovray est proche de la ZAC où se situe la gravière. Comment s’organise la prévention des risques à proximité de ce dépôt ? (</w:t>
      </w:r>
      <w:r w:rsidRPr="00E243E5">
        <w:rPr>
          <w:rFonts w:ascii="Arial" w:eastAsia="Calibri" w:hAnsi="Arial" w:cs="Arial"/>
          <w:b/>
          <w:bCs/>
        </w:rPr>
        <w:t xml:space="preserve">documents 2 </w:t>
      </w:r>
      <w:r w:rsidRPr="00E243E5">
        <w:rPr>
          <w:rFonts w:ascii="Arial" w:eastAsia="Calibri" w:hAnsi="Arial" w:cs="Arial"/>
        </w:rPr>
        <w:t>et</w:t>
      </w:r>
      <w:r w:rsidRPr="00E243E5">
        <w:rPr>
          <w:rFonts w:ascii="Arial" w:eastAsia="Calibri" w:hAnsi="Arial" w:cs="Arial"/>
          <w:b/>
          <w:bCs/>
        </w:rPr>
        <w:t xml:space="preserve"> 3</w:t>
      </w:r>
      <w:r w:rsidRPr="00E243E5">
        <w:rPr>
          <w:rFonts w:ascii="Arial" w:eastAsia="Calibri" w:hAnsi="Arial" w:cs="Arial"/>
        </w:rPr>
        <w:t xml:space="preserve">) </w:t>
      </w:r>
    </w:p>
    <w:p w14:paraId="5B0086B1" w14:textId="77777777" w:rsidR="00E243E5" w:rsidRDefault="00E243E5" w:rsidP="00E243E5">
      <w:pPr>
        <w:spacing w:before="120" w:after="0" w:line="240" w:lineRule="auto"/>
        <w:jc w:val="both"/>
        <w:rPr>
          <w:rFonts w:ascii="Arial" w:eastAsia="Calibri" w:hAnsi="Arial" w:cs="Arial"/>
        </w:rPr>
      </w:pPr>
    </w:p>
    <w:p w14:paraId="1BE1C884" w14:textId="77777777" w:rsidR="00E243E5" w:rsidRDefault="00E243E5" w:rsidP="00E243E5">
      <w:pPr>
        <w:spacing w:before="120" w:after="0" w:line="240" w:lineRule="auto"/>
        <w:jc w:val="both"/>
        <w:rPr>
          <w:rFonts w:ascii="Arial" w:eastAsia="Calibri" w:hAnsi="Arial" w:cs="Arial"/>
        </w:rPr>
      </w:pPr>
    </w:p>
    <w:p w14:paraId="19A35063" w14:textId="77777777" w:rsidR="00E243E5" w:rsidRDefault="00E243E5" w:rsidP="00E243E5">
      <w:pPr>
        <w:spacing w:before="120" w:after="0" w:line="240" w:lineRule="auto"/>
        <w:jc w:val="both"/>
        <w:rPr>
          <w:rFonts w:ascii="Arial" w:eastAsia="Calibri" w:hAnsi="Arial" w:cs="Arial"/>
        </w:rPr>
      </w:pPr>
    </w:p>
    <w:p w14:paraId="71226EAA" w14:textId="77777777" w:rsidR="00E243E5" w:rsidRDefault="00E243E5" w:rsidP="00E243E5">
      <w:pPr>
        <w:spacing w:before="120" w:after="0" w:line="240" w:lineRule="auto"/>
        <w:jc w:val="both"/>
        <w:rPr>
          <w:rFonts w:ascii="Arial" w:eastAsia="Calibri" w:hAnsi="Arial" w:cs="Arial"/>
        </w:rPr>
      </w:pPr>
    </w:p>
    <w:p w14:paraId="7CC5201D" w14:textId="77777777" w:rsidR="00E243E5" w:rsidRDefault="00E243E5" w:rsidP="00E243E5">
      <w:pPr>
        <w:spacing w:before="120" w:after="0" w:line="240" w:lineRule="auto"/>
        <w:jc w:val="both"/>
        <w:rPr>
          <w:rFonts w:ascii="Arial" w:eastAsia="Calibri" w:hAnsi="Arial" w:cs="Arial"/>
        </w:rPr>
      </w:pPr>
    </w:p>
    <w:p w14:paraId="63735667" w14:textId="77777777" w:rsidR="00E243E5" w:rsidRPr="00E243E5" w:rsidRDefault="00E243E5" w:rsidP="00E243E5">
      <w:pPr>
        <w:spacing w:before="120" w:after="0" w:line="240" w:lineRule="auto"/>
        <w:jc w:val="both"/>
        <w:rPr>
          <w:rFonts w:ascii="Arial" w:eastAsia="Calibri" w:hAnsi="Arial" w:cs="Arial"/>
        </w:rPr>
      </w:pPr>
    </w:p>
    <w:p w14:paraId="59D541D8" w14:textId="77777777" w:rsidR="00E243E5" w:rsidRDefault="00E243E5" w:rsidP="00E243E5">
      <w:pPr>
        <w:pStyle w:val="Paragraphedeliste"/>
        <w:numPr>
          <w:ilvl w:val="0"/>
          <w:numId w:val="9"/>
        </w:numPr>
        <w:spacing w:before="120" w:after="0" w:line="240" w:lineRule="auto"/>
        <w:jc w:val="both"/>
        <w:rPr>
          <w:rFonts w:ascii="Arial" w:eastAsia="Calibri" w:hAnsi="Arial" w:cs="Arial"/>
        </w:rPr>
      </w:pPr>
      <w:r w:rsidRPr="00E243E5">
        <w:rPr>
          <w:rFonts w:ascii="Arial" w:eastAsia="Calibri" w:hAnsi="Arial" w:cs="Arial"/>
        </w:rPr>
        <w:t xml:space="preserve">Parmi les différents risques énoncés dans le </w:t>
      </w:r>
      <w:r w:rsidRPr="00E243E5">
        <w:rPr>
          <w:rFonts w:ascii="Arial" w:eastAsia="Calibri" w:hAnsi="Arial" w:cs="Arial"/>
          <w:b/>
          <w:bCs/>
        </w:rPr>
        <w:t>travail 1</w:t>
      </w:r>
      <w:r w:rsidRPr="00E243E5">
        <w:rPr>
          <w:rFonts w:ascii="Arial" w:eastAsia="Calibri" w:hAnsi="Arial" w:cs="Arial"/>
        </w:rPr>
        <w:t>, établissez une typologie des risques environnementaux liés à l’activité de l’entreprise Charvin SA et justifiez-les.</w:t>
      </w:r>
    </w:p>
    <w:p w14:paraId="516727BB" w14:textId="77777777" w:rsidR="00E243E5" w:rsidRDefault="00E243E5" w:rsidP="00E243E5">
      <w:pPr>
        <w:spacing w:before="120" w:after="0" w:line="240" w:lineRule="auto"/>
        <w:jc w:val="both"/>
        <w:rPr>
          <w:rFonts w:ascii="Arial" w:eastAsia="Calibri" w:hAnsi="Arial" w:cs="Arial"/>
        </w:rPr>
      </w:pPr>
    </w:p>
    <w:p w14:paraId="2B854FF1" w14:textId="77777777" w:rsidR="00E243E5" w:rsidRDefault="00E243E5" w:rsidP="00E243E5">
      <w:pPr>
        <w:spacing w:before="120" w:after="0" w:line="240" w:lineRule="auto"/>
        <w:jc w:val="both"/>
        <w:rPr>
          <w:rFonts w:ascii="Arial" w:eastAsia="Calibri" w:hAnsi="Arial" w:cs="Arial"/>
        </w:rPr>
      </w:pPr>
    </w:p>
    <w:p w14:paraId="487C50C7" w14:textId="77777777" w:rsidR="00E243E5" w:rsidRDefault="00E243E5" w:rsidP="00E243E5">
      <w:pPr>
        <w:spacing w:before="120" w:after="0" w:line="240" w:lineRule="auto"/>
        <w:jc w:val="both"/>
        <w:rPr>
          <w:rFonts w:ascii="Arial" w:eastAsia="Calibri" w:hAnsi="Arial" w:cs="Arial"/>
        </w:rPr>
      </w:pPr>
    </w:p>
    <w:p w14:paraId="2DA8CE57" w14:textId="77777777" w:rsidR="00E243E5" w:rsidRDefault="00E243E5" w:rsidP="00E243E5">
      <w:pPr>
        <w:spacing w:before="120" w:after="0" w:line="240" w:lineRule="auto"/>
        <w:jc w:val="both"/>
        <w:rPr>
          <w:rFonts w:ascii="Arial" w:eastAsia="Calibri" w:hAnsi="Arial" w:cs="Arial"/>
        </w:rPr>
      </w:pPr>
    </w:p>
    <w:p w14:paraId="72259224" w14:textId="77777777" w:rsidR="00E243E5" w:rsidRDefault="00E243E5" w:rsidP="00E243E5">
      <w:pPr>
        <w:spacing w:before="120" w:after="0" w:line="240" w:lineRule="auto"/>
        <w:jc w:val="both"/>
        <w:rPr>
          <w:rFonts w:ascii="Arial" w:eastAsia="Calibri" w:hAnsi="Arial" w:cs="Arial"/>
        </w:rPr>
      </w:pPr>
    </w:p>
    <w:p w14:paraId="756CF624" w14:textId="77777777" w:rsidR="00E243E5" w:rsidRPr="00E243E5" w:rsidRDefault="00E243E5" w:rsidP="00E243E5">
      <w:pPr>
        <w:spacing w:before="120" w:after="0" w:line="240" w:lineRule="auto"/>
        <w:jc w:val="both"/>
        <w:rPr>
          <w:rFonts w:ascii="Arial" w:eastAsia="Calibri" w:hAnsi="Arial" w:cs="Arial"/>
        </w:rPr>
      </w:pPr>
    </w:p>
    <w:p w14:paraId="68D4D216" w14:textId="77777777" w:rsidR="00E243E5" w:rsidRDefault="00E243E5" w:rsidP="00E243E5">
      <w:pPr>
        <w:pStyle w:val="Paragraphedeliste"/>
        <w:numPr>
          <w:ilvl w:val="0"/>
          <w:numId w:val="9"/>
        </w:numPr>
        <w:spacing w:after="0" w:line="240" w:lineRule="auto"/>
        <w:jc w:val="both"/>
        <w:rPr>
          <w:rFonts w:ascii="Arial" w:eastAsia="Calibri" w:hAnsi="Arial" w:cs="Arial"/>
        </w:rPr>
      </w:pPr>
      <w:r w:rsidRPr="00E243E5">
        <w:rPr>
          <w:rFonts w:ascii="Arial" w:eastAsia="Calibri" w:hAnsi="Arial" w:cs="Arial"/>
        </w:rPr>
        <w:t>Listez les lois et règlements applicables à Charvin SA dans le cadre de l’exploitation d’une gravière de 300 m² dans le lit majeur du Fier, (</w:t>
      </w:r>
      <w:r w:rsidRPr="00E243E5">
        <w:rPr>
          <w:rFonts w:ascii="Arial" w:eastAsia="Calibri" w:hAnsi="Arial" w:cs="Arial"/>
          <w:b/>
          <w:bCs/>
        </w:rPr>
        <w:t>document 3</w:t>
      </w:r>
      <w:r w:rsidRPr="00E243E5">
        <w:rPr>
          <w:rFonts w:ascii="Arial" w:eastAsia="Calibri" w:hAnsi="Arial" w:cs="Arial"/>
        </w:rPr>
        <w:t xml:space="preserve">). </w:t>
      </w:r>
    </w:p>
    <w:p w14:paraId="23DFBD27" w14:textId="77777777" w:rsidR="00E243E5" w:rsidRDefault="00E243E5" w:rsidP="00E243E5">
      <w:pPr>
        <w:spacing w:after="0" w:line="240" w:lineRule="auto"/>
        <w:jc w:val="both"/>
        <w:rPr>
          <w:rFonts w:ascii="Arial" w:eastAsia="Calibri" w:hAnsi="Arial" w:cs="Arial"/>
        </w:rPr>
      </w:pPr>
    </w:p>
    <w:p w14:paraId="55E77DEE" w14:textId="77777777" w:rsidR="00E243E5" w:rsidRDefault="00E243E5" w:rsidP="00E243E5">
      <w:pPr>
        <w:spacing w:after="0" w:line="240" w:lineRule="auto"/>
        <w:jc w:val="both"/>
        <w:rPr>
          <w:rFonts w:ascii="Arial" w:eastAsia="Calibri" w:hAnsi="Arial" w:cs="Arial"/>
        </w:rPr>
      </w:pPr>
    </w:p>
    <w:p w14:paraId="4FDB4C4B" w14:textId="77777777" w:rsidR="00E243E5" w:rsidRDefault="00E243E5" w:rsidP="00E243E5">
      <w:pPr>
        <w:spacing w:after="0" w:line="240" w:lineRule="auto"/>
        <w:jc w:val="both"/>
        <w:rPr>
          <w:rFonts w:ascii="Arial" w:eastAsia="Calibri" w:hAnsi="Arial" w:cs="Arial"/>
        </w:rPr>
      </w:pPr>
    </w:p>
    <w:p w14:paraId="573CC55E" w14:textId="77777777" w:rsidR="00E243E5" w:rsidRDefault="00E243E5" w:rsidP="00E243E5">
      <w:pPr>
        <w:spacing w:after="0" w:line="240" w:lineRule="auto"/>
        <w:jc w:val="both"/>
        <w:rPr>
          <w:rFonts w:ascii="Arial" w:eastAsia="Calibri" w:hAnsi="Arial" w:cs="Arial"/>
        </w:rPr>
      </w:pPr>
    </w:p>
    <w:p w14:paraId="4A91BC19" w14:textId="77777777" w:rsidR="00E243E5" w:rsidRPr="00E243E5" w:rsidRDefault="00E243E5" w:rsidP="00E243E5">
      <w:pPr>
        <w:spacing w:after="0" w:line="240" w:lineRule="auto"/>
        <w:jc w:val="both"/>
        <w:rPr>
          <w:rFonts w:ascii="Arial" w:eastAsia="Calibri" w:hAnsi="Arial" w:cs="Arial"/>
        </w:rPr>
      </w:pPr>
    </w:p>
    <w:p w14:paraId="478C87F5" w14:textId="77777777" w:rsidR="00E243E5" w:rsidRDefault="00E243E5" w:rsidP="00E243E5">
      <w:pPr>
        <w:pStyle w:val="Paragraphedeliste"/>
        <w:numPr>
          <w:ilvl w:val="0"/>
          <w:numId w:val="9"/>
        </w:numPr>
        <w:spacing w:after="0" w:line="240" w:lineRule="auto"/>
        <w:jc w:val="both"/>
        <w:rPr>
          <w:rFonts w:ascii="Arial" w:eastAsia="Calibri" w:hAnsi="Arial" w:cs="Arial"/>
        </w:rPr>
      </w:pPr>
      <w:r w:rsidRPr="00E243E5">
        <w:rPr>
          <w:rFonts w:ascii="Arial" w:eastAsia="Calibri" w:hAnsi="Arial" w:cs="Arial"/>
        </w:rPr>
        <w:t>Qui surveille les IPCE ? (</w:t>
      </w:r>
      <w:r w:rsidRPr="00E243E5">
        <w:rPr>
          <w:rFonts w:ascii="Arial" w:eastAsia="Calibri" w:hAnsi="Arial" w:cs="Arial"/>
          <w:b/>
          <w:bCs/>
        </w:rPr>
        <w:t>document 3</w:t>
      </w:r>
      <w:r w:rsidRPr="00E243E5">
        <w:rPr>
          <w:rFonts w:ascii="Arial" w:eastAsia="Calibri" w:hAnsi="Arial" w:cs="Arial"/>
        </w:rPr>
        <w:t>).</w:t>
      </w:r>
    </w:p>
    <w:p w14:paraId="5D2AA427" w14:textId="77777777" w:rsidR="00E243E5" w:rsidRDefault="00E243E5" w:rsidP="00E243E5">
      <w:pPr>
        <w:spacing w:after="0" w:line="240" w:lineRule="auto"/>
        <w:jc w:val="both"/>
        <w:rPr>
          <w:rFonts w:ascii="Arial" w:eastAsia="Calibri" w:hAnsi="Arial" w:cs="Arial"/>
        </w:rPr>
      </w:pPr>
    </w:p>
    <w:p w14:paraId="11E56002" w14:textId="77777777" w:rsidR="00E243E5" w:rsidRDefault="00E243E5" w:rsidP="00E243E5">
      <w:pPr>
        <w:spacing w:after="0" w:line="240" w:lineRule="auto"/>
        <w:jc w:val="both"/>
        <w:rPr>
          <w:rFonts w:ascii="Arial" w:eastAsia="Calibri" w:hAnsi="Arial" w:cs="Arial"/>
        </w:rPr>
      </w:pPr>
    </w:p>
    <w:p w14:paraId="636C898D" w14:textId="77777777" w:rsidR="00E243E5" w:rsidRDefault="00E243E5" w:rsidP="00E243E5">
      <w:pPr>
        <w:spacing w:after="0" w:line="240" w:lineRule="auto"/>
        <w:jc w:val="both"/>
        <w:rPr>
          <w:rFonts w:ascii="Arial" w:eastAsia="Calibri" w:hAnsi="Arial" w:cs="Arial"/>
        </w:rPr>
      </w:pPr>
    </w:p>
    <w:p w14:paraId="6B284A6C" w14:textId="77777777" w:rsidR="00E243E5" w:rsidRDefault="00E243E5" w:rsidP="00E243E5">
      <w:pPr>
        <w:spacing w:after="0" w:line="240" w:lineRule="auto"/>
        <w:jc w:val="both"/>
        <w:rPr>
          <w:rFonts w:ascii="Arial" w:eastAsia="Calibri" w:hAnsi="Arial" w:cs="Arial"/>
        </w:rPr>
      </w:pPr>
    </w:p>
    <w:p w14:paraId="5C02208A" w14:textId="77777777" w:rsidR="00E243E5" w:rsidRPr="00E243E5" w:rsidRDefault="00E243E5" w:rsidP="00E243E5">
      <w:pPr>
        <w:spacing w:after="0" w:line="240" w:lineRule="auto"/>
        <w:jc w:val="both"/>
        <w:rPr>
          <w:rFonts w:ascii="Arial" w:eastAsia="Calibri" w:hAnsi="Arial" w:cs="Arial"/>
        </w:rPr>
      </w:pPr>
    </w:p>
    <w:p w14:paraId="7548A668" w14:textId="77777777" w:rsidR="00E243E5" w:rsidRPr="00E243E5" w:rsidRDefault="00E243E5" w:rsidP="00E243E5">
      <w:pPr>
        <w:pStyle w:val="Paragraphedeliste"/>
        <w:numPr>
          <w:ilvl w:val="0"/>
          <w:numId w:val="9"/>
        </w:numPr>
        <w:spacing w:after="0" w:line="240" w:lineRule="auto"/>
        <w:jc w:val="both"/>
        <w:rPr>
          <w:rFonts w:ascii="Arial" w:eastAsia="Calibri" w:hAnsi="Arial" w:cs="Arial"/>
        </w:rPr>
      </w:pPr>
      <w:r w:rsidRPr="00E243E5">
        <w:rPr>
          <w:rFonts w:ascii="Arial" w:eastAsia="Calibri" w:hAnsi="Arial" w:cs="Arial"/>
        </w:rPr>
        <w:t>Quelles sont les caractéristiques de la certification ISO 14001 et quels en sont les avantages pour l'entreprise (</w:t>
      </w:r>
      <w:r w:rsidRPr="00E243E5">
        <w:rPr>
          <w:rFonts w:ascii="Arial" w:eastAsia="Calibri" w:hAnsi="Arial" w:cs="Arial"/>
          <w:b/>
          <w:bCs/>
        </w:rPr>
        <w:t>document 4</w:t>
      </w:r>
      <w:r w:rsidRPr="00E243E5">
        <w:rPr>
          <w:rFonts w:ascii="Arial" w:eastAsia="Calibri" w:hAnsi="Arial" w:cs="Arial"/>
        </w:rPr>
        <w:t>).</w:t>
      </w:r>
    </w:p>
    <w:p w14:paraId="065357B0" w14:textId="77777777" w:rsidR="000445F4" w:rsidRPr="00E243E5" w:rsidRDefault="000445F4" w:rsidP="00E243E5">
      <w:pPr>
        <w:pStyle w:val="Titre3"/>
        <w:numPr>
          <w:ilvl w:val="0"/>
          <w:numId w:val="0"/>
        </w:numPr>
        <w:spacing w:before="120"/>
        <w:jc w:val="left"/>
      </w:pPr>
    </w:p>
    <w:sectPr w:rsidR="000445F4" w:rsidRPr="00E243E5" w:rsidSect="00504690">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alt="-" style="width:6pt;height:8.4pt;visibility:visible;mso-wrap-style:square" o:bullet="t">
        <v:imagedata r:id="rId1" o:title="-"/>
      </v:shape>
    </w:pict>
  </w:numPicBullet>
  <w:abstractNum w:abstractNumId="0" w15:restartNumberingAfterBreak="0">
    <w:nsid w:val="21C00CC5"/>
    <w:multiLevelType w:val="hybridMultilevel"/>
    <w:tmpl w:val="238AD81A"/>
    <w:lvl w:ilvl="0" w:tplc="040C000B">
      <w:start w:val="1"/>
      <w:numFmt w:val="bullet"/>
      <w:lvlText w:val=""/>
      <w:lvlJc w:val="left"/>
      <w:pPr>
        <w:ind w:left="-338" w:hanging="360"/>
      </w:pPr>
      <w:rPr>
        <w:rFonts w:ascii="Wingdings" w:hAnsi="Wingdings" w:hint="default"/>
      </w:rPr>
    </w:lvl>
    <w:lvl w:ilvl="1" w:tplc="040C0003">
      <w:start w:val="1"/>
      <w:numFmt w:val="bullet"/>
      <w:lvlText w:val="o"/>
      <w:lvlJc w:val="left"/>
      <w:pPr>
        <w:ind w:left="382" w:hanging="360"/>
      </w:pPr>
      <w:rPr>
        <w:rFonts w:ascii="Courier New" w:hAnsi="Courier New" w:cs="Courier New" w:hint="default"/>
      </w:rPr>
    </w:lvl>
    <w:lvl w:ilvl="2" w:tplc="040C0005">
      <w:start w:val="1"/>
      <w:numFmt w:val="bullet"/>
      <w:lvlText w:val=""/>
      <w:lvlJc w:val="left"/>
      <w:pPr>
        <w:ind w:left="1102" w:hanging="360"/>
      </w:pPr>
      <w:rPr>
        <w:rFonts w:ascii="Wingdings" w:hAnsi="Wingdings" w:hint="default"/>
      </w:rPr>
    </w:lvl>
    <w:lvl w:ilvl="3" w:tplc="040C0001">
      <w:start w:val="1"/>
      <w:numFmt w:val="bullet"/>
      <w:lvlText w:val=""/>
      <w:lvlJc w:val="left"/>
      <w:pPr>
        <w:ind w:left="1822" w:hanging="360"/>
      </w:pPr>
      <w:rPr>
        <w:rFonts w:ascii="Symbol" w:hAnsi="Symbol" w:hint="default"/>
      </w:rPr>
    </w:lvl>
    <w:lvl w:ilvl="4" w:tplc="040C0003">
      <w:start w:val="1"/>
      <w:numFmt w:val="bullet"/>
      <w:lvlText w:val="o"/>
      <w:lvlJc w:val="left"/>
      <w:pPr>
        <w:ind w:left="2542" w:hanging="360"/>
      </w:pPr>
      <w:rPr>
        <w:rFonts w:ascii="Courier New" w:hAnsi="Courier New" w:cs="Courier New" w:hint="default"/>
      </w:rPr>
    </w:lvl>
    <w:lvl w:ilvl="5" w:tplc="040C0005">
      <w:start w:val="1"/>
      <w:numFmt w:val="bullet"/>
      <w:lvlText w:val=""/>
      <w:lvlJc w:val="left"/>
      <w:pPr>
        <w:ind w:left="3262" w:hanging="360"/>
      </w:pPr>
      <w:rPr>
        <w:rFonts w:ascii="Wingdings" w:hAnsi="Wingdings" w:hint="default"/>
      </w:rPr>
    </w:lvl>
    <w:lvl w:ilvl="6" w:tplc="040C0001">
      <w:start w:val="1"/>
      <w:numFmt w:val="bullet"/>
      <w:lvlText w:val=""/>
      <w:lvlJc w:val="left"/>
      <w:pPr>
        <w:ind w:left="3982" w:hanging="360"/>
      </w:pPr>
      <w:rPr>
        <w:rFonts w:ascii="Symbol" w:hAnsi="Symbol" w:hint="default"/>
      </w:rPr>
    </w:lvl>
    <w:lvl w:ilvl="7" w:tplc="040C0003">
      <w:start w:val="1"/>
      <w:numFmt w:val="bullet"/>
      <w:lvlText w:val="o"/>
      <w:lvlJc w:val="left"/>
      <w:pPr>
        <w:ind w:left="4702" w:hanging="360"/>
      </w:pPr>
      <w:rPr>
        <w:rFonts w:ascii="Courier New" w:hAnsi="Courier New" w:cs="Courier New" w:hint="default"/>
      </w:rPr>
    </w:lvl>
    <w:lvl w:ilvl="8" w:tplc="040C0005">
      <w:start w:val="1"/>
      <w:numFmt w:val="bullet"/>
      <w:lvlText w:val=""/>
      <w:lvlJc w:val="left"/>
      <w:pPr>
        <w:ind w:left="5422" w:hanging="360"/>
      </w:pPr>
      <w:rPr>
        <w:rFonts w:ascii="Wingdings" w:hAnsi="Wingdings" w:hint="default"/>
      </w:rPr>
    </w:lvl>
  </w:abstractNum>
  <w:abstractNum w:abstractNumId="1" w15:restartNumberingAfterBreak="0">
    <w:nsid w:val="225C6A5A"/>
    <w:multiLevelType w:val="hybridMultilevel"/>
    <w:tmpl w:val="9CFC064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2CE757FA"/>
    <w:multiLevelType w:val="hybridMultilevel"/>
    <w:tmpl w:val="16448912"/>
    <w:lvl w:ilvl="0" w:tplc="2C841492">
      <w:start w:val="5"/>
      <w:numFmt w:val="bullet"/>
      <w:lvlText w:val="-"/>
      <w:lvlJc w:val="left"/>
      <w:pPr>
        <w:ind w:left="360" w:hanging="360"/>
      </w:pPr>
      <w:rPr>
        <w:rFonts w:ascii="Cambria" w:eastAsia="Times New Roman" w:hAnsi="Cambr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4753CE9"/>
    <w:multiLevelType w:val="hybridMultilevel"/>
    <w:tmpl w:val="C6A41820"/>
    <w:lvl w:ilvl="0" w:tplc="FFFFFFFF">
      <w:start w:val="1"/>
      <w:numFmt w:val="bullet"/>
      <w:lvlText w:val=""/>
      <w:lvlPicBulletId w:val="0"/>
      <w:lvlJc w:val="left"/>
      <w:pPr>
        <w:tabs>
          <w:tab w:val="num" w:pos="360"/>
        </w:tabs>
        <w:ind w:left="360" w:hanging="360"/>
      </w:pPr>
      <w:rPr>
        <w:rFonts w:ascii="Symbol" w:hAnsi="Symbol" w:hint="default"/>
      </w:rPr>
    </w:lvl>
    <w:lvl w:ilvl="1" w:tplc="FFFFFFFF">
      <w:numFmt w:val="bullet"/>
      <w:lvlText w:val="•"/>
      <w:lvlJc w:val="left"/>
      <w:pPr>
        <w:ind w:left="1080" w:hanging="360"/>
      </w:pPr>
      <w:rPr>
        <w:rFonts w:ascii="Arial" w:eastAsiaTheme="minorHAnsi" w:hAnsi="Arial" w:cs="Arial" w:hint="default"/>
      </w:rPr>
    </w:lvl>
    <w:lvl w:ilvl="2" w:tplc="49B0763E">
      <w:numFmt w:val="bullet"/>
      <w:lvlText w:val="-"/>
      <w:lvlJc w:val="left"/>
      <w:pPr>
        <w:ind w:left="360" w:hanging="360"/>
      </w:pPr>
      <w:rPr>
        <w:rFonts w:ascii="Arial" w:eastAsiaTheme="minorHAnsi" w:hAnsi="Arial" w:cs="Arial" w:hint="default"/>
        <w:b/>
        <w:color w:val="111111"/>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41AC1C1C"/>
    <w:multiLevelType w:val="hybridMultilevel"/>
    <w:tmpl w:val="3D1E24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520265A2"/>
    <w:multiLevelType w:val="hybridMultilevel"/>
    <w:tmpl w:val="86D6367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599A2FC9"/>
    <w:multiLevelType w:val="hybridMultilevel"/>
    <w:tmpl w:val="A25A059A"/>
    <w:lvl w:ilvl="0" w:tplc="6396F768">
      <w:start w:val="1"/>
      <w:numFmt w:val="bullet"/>
      <w:pStyle w:val="Titre3"/>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 w15:restartNumberingAfterBreak="0">
    <w:nsid w:val="791A1B67"/>
    <w:multiLevelType w:val="multilevel"/>
    <w:tmpl w:val="04FEC0C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82655300">
    <w:abstractNumId w:val="0"/>
  </w:num>
  <w:num w:numId="2" w16cid:durableId="1890349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1341509">
    <w:abstractNumId w:val="7"/>
  </w:num>
  <w:num w:numId="4" w16cid:durableId="625889828">
    <w:abstractNumId w:val="1"/>
  </w:num>
  <w:num w:numId="5" w16cid:durableId="729618427">
    <w:abstractNumId w:val="6"/>
  </w:num>
  <w:num w:numId="6" w16cid:durableId="1695955882">
    <w:abstractNumId w:val="2"/>
  </w:num>
  <w:num w:numId="7" w16cid:durableId="1841967656">
    <w:abstractNumId w:val="3"/>
  </w:num>
  <w:num w:numId="8" w16cid:durableId="1100369485">
    <w:abstractNumId w:val="5"/>
  </w:num>
  <w:num w:numId="9" w16cid:durableId="20085116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4D3"/>
    <w:rsid w:val="000445F4"/>
    <w:rsid w:val="00504690"/>
    <w:rsid w:val="00523083"/>
    <w:rsid w:val="006A43DD"/>
    <w:rsid w:val="008C0A53"/>
    <w:rsid w:val="009464D3"/>
    <w:rsid w:val="009834C1"/>
    <w:rsid w:val="00AB637C"/>
    <w:rsid w:val="00E243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6DEA4"/>
  <w15:chartTrackingRefBased/>
  <w15:docId w15:val="{3952EB1B-B91F-45FB-897E-94ACD770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4D3"/>
  </w:style>
  <w:style w:type="paragraph" w:styleId="Titre3">
    <w:name w:val="heading 3"/>
    <w:basedOn w:val="Paragraphedeliste"/>
    <w:next w:val="Normal"/>
    <w:link w:val="Titre3Car"/>
    <w:uiPriority w:val="9"/>
    <w:unhideWhenUsed/>
    <w:qFormat/>
    <w:rsid w:val="00504690"/>
    <w:pPr>
      <w:numPr>
        <w:numId w:val="5"/>
      </w:numPr>
      <w:spacing w:after="120" w:line="240" w:lineRule="auto"/>
      <w:jc w:val="both"/>
      <w:outlineLvl w:val="2"/>
    </w:pPr>
    <w:rPr>
      <w:rFonts w:ascii="Arial" w:eastAsia="Times New Roman" w:hAnsi="Arial" w:cs="Arial"/>
      <w:b/>
      <w:color w:val="000000"/>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unhideWhenUsed/>
    <w:rsid w:val="009464D3"/>
    <w:pPr>
      <w:spacing w:after="0" w:line="240" w:lineRule="auto"/>
      <w:jc w:val="both"/>
    </w:pPr>
    <w:rPr>
      <w:rFonts w:ascii="Arial" w:eastAsia="Calibri" w:hAnsi="Arial" w:cs="Times New Roman"/>
      <w:sz w:val="20"/>
      <w:szCs w:val="20"/>
    </w:rPr>
  </w:style>
  <w:style w:type="character" w:customStyle="1" w:styleId="CommentaireCar">
    <w:name w:val="Commentaire Car"/>
    <w:basedOn w:val="Policepardfaut"/>
    <w:link w:val="Commentaire"/>
    <w:uiPriority w:val="99"/>
    <w:semiHidden/>
    <w:rsid w:val="009464D3"/>
    <w:rPr>
      <w:rFonts w:ascii="Arial" w:eastAsia="Calibri" w:hAnsi="Arial" w:cs="Times New Roman"/>
      <w:sz w:val="20"/>
      <w:szCs w:val="20"/>
    </w:rPr>
  </w:style>
  <w:style w:type="character" w:styleId="Marquedecommentaire">
    <w:name w:val="annotation reference"/>
    <w:basedOn w:val="Policepardfaut"/>
    <w:uiPriority w:val="99"/>
    <w:semiHidden/>
    <w:unhideWhenUsed/>
    <w:rsid w:val="009464D3"/>
    <w:rPr>
      <w:sz w:val="16"/>
      <w:szCs w:val="16"/>
    </w:rPr>
  </w:style>
  <w:style w:type="paragraph" w:customStyle="1" w:styleId="Default">
    <w:name w:val="Default"/>
    <w:rsid w:val="00AB637C"/>
    <w:pPr>
      <w:autoSpaceDE w:val="0"/>
      <w:autoSpaceDN w:val="0"/>
      <w:adjustRightInd w:val="0"/>
      <w:spacing w:after="0" w:line="240" w:lineRule="auto"/>
    </w:pPr>
    <w:rPr>
      <w:rFonts w:ascii="Myriad Pro" w:hAnsi="Myriad Pro" w:cs="Myriad Pro"/>
      <w:color w:val="000000"/>
      <w:sz w:val="24"/>
      <w:szCs w:val="24"/>
    </w:rPr>
  </w:style>
  <w:style w:type="paragraph" w:customStyle="1" w:styleId="Pa29">
    <w:name w:val="Pa29"/>
    <w:basedOn w:val="Default"/>
    <w:next w:val="Default"/>
    <w:uiPriority w:val="99"/>
    <w:rsid w:val="00AB637C"/>
    <w:pPr>
      <w:spacing w:line="211" w:lineRule="atLeast"/>
    </w:pPr>
    <w:rPr>
      <w:rFonts w:cstheme="minorBidi"/>
      <w:color w:val="auto"/>
    </w:rPr>
  </w:style>
  <w:style w:type="character" w:customStyle="1" w:styleId="Titre3Car">
    <w:name w:val="Titre 3 Car"/>
    <w:basedOn w:val="Policepardfaut"/>
    <w:link w:val="Titre3"/>
    <w:uiPriority w:val="9"/>
    <w:rsid w:val="00504690"/>
    <w:rPr>
      <w:rFonts w:ascii="Arial" w:eastAsia="Times New Roman" w:hAnsi="Arial" w:cs="Arial"/>
      <w:b/>
      <w:color w:val="000000"/>
      <w:sz w:val="24"/>
      <w:szCs w:val="20"/>
      <w:lang w:eastAsia="fr-FR"/>
    </w:rPr>
  </w:style>
  <w:style w:type="table" w:styleId="Grilledutableau">
    <w:name w:val="Table Grid"/>
    <w:basedOn w:val="TableauNormal"/>
    <w:uiPriority w:val="59"/>
    <w:rsid w:val="0050469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04690"/>
    <w:pPr>
      <w:ind w:left="720"/>
      <w:contextualSpacing/>
    </w:pPr>
  </w:style>
  <w:style w:type="character" w:styleId="Lienhypertexte">
    <w:name w:val="Hyperlink"/>
    <w:uiPriority w:val="99"/>
    <w:unhideWhenUsed/>
    <w:rsid w:val="00E243E5"/>
    <w:rPr>
      <w:color w:val="0000FF"/>
      <w:u w:val="single"/>
    </w:rPr>
  </w:style>
  <w:style w:type="paragraph" w:styleId="NormalWeb">
    <w:name w:val="Normal (Web)"/>
    <w:basedOn w:val="Normal"/>
    <w:uiPriority w:val="99"/>
    <w:unhideWhenUsed/>
    <w:rsid w:val="00E243E5"/>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243E5"/>
    <w:rPr>
      <w:b/>
      <w:bCs/>
    </w:rPr>
  </w:style>
  <w:style w:type="character" w:styleId="Accentuation">
    <w:name w:val="Emphasis"/>
    <w:basedOn w:val="Policepardfaut"/>
    <w:uiPriority w:val="20"/>
    <w:qFormat/>
    <w:rsid w:val="00E243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hyperlink" Target="http://www.qse-developpement.com/iso-14001" TargetMode="External"/><Relationship Id="rId3" Type="http://schemas.openxmlformats.org/officeDocument/2006/relationships/settings" Target="settings.xml"/><Relationship Id="rId7" Type="http://schemas.openxmlformats.org/officeDocument/2006/relationships/image" Target="media/image4.svg"/><Relationship Id="rId12" Type="http://schemas.openxmlformats.org/officeDocument/2006/relationships/hyperlink" Target="http://www.haute-savoie.gouv"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legifrance.gouv.fr/codes/section_lc/LEGITEXT000006074220/LEGISCTA000006159277/2020-08-1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www.cpepesc.org/" TargetMode="External"/><Relationship Id="rId10" Type="http://schemas.openxmlformats.org/officeDocument/2006/relationships/hyperlink" Target="http://www.environnement-magazine.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sv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1641</Words>
  <Characters>9031</Characters>
  <Application>Microsoft Office Word</Application>
  <DocSecurity>0</DocSecurity>
  <Lines>75</Lines>
  <Paragraphs>21</Paragraphs>
  <ScaleCrop>false</ScaleCrop>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8</cp:revision>
  <dcterms:created xsi:type="dcterms:W3CDTF">2015-12-23T15:00:00Z</dcterms:created>
  <dcterms:modified xsi:type="dcterms:W3CDTF">2023-12-12T23:18:00Z</dcterms:modified>
</cp:coreProperties>
</file>