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848"/>
        <w:gridCol w:w="6178"/>
        <w:gridCol w:w="791"/>
        <w:gridCol w:w="1132"/>
      </w:tblGrid>
      <w:tr w:rsidR="001C2EF9" w:rsidRPr="00BE4AAF" w14:paraId="787D4483" w14:textId="77777777" w:rsidTr="007C2202">
        <w:trPr>
          <w:trHeight w:val="567"/>
        </w:trPr>
        <w:tc>
          <w:tcPr>
            <w:tcW w:w="8075"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1AA37B65" w14:textId="5A8373DF" w:rsidR="001C2EF9" w:rsidRPr="00ED7B0C" w:rsidRDefault="001C2EF9" w:rsidP="007C2202">
            <w:pPr>
              <w:pStyle w:val="Titre2"/>
              <w:spacing w:after="0"/>
              <w:jc w:val="center"/>
              <w:rPr>
                <w:rFonts w:ascii="Arial" w:hAnsi="Arial"/>
                <w:color w:val="auto"/>
                <w:sz w:val="28"/>
                <w:szCs w:val="22"/>
              </w:rPr>
            </w:pPr>
            <w:r w:rsidRPr="00ED7B0C">
              <w:rPr>
                <w:rFonts w:ascii="Arial" w:hAnsi="Arial"/>
                <w:color w:val="auto"/>
                <w:sz w:val="28"/>
                <w:szCs w:val="22"/>
              </w:rPr>
              <w:t xml:space="preserve">Mission </w:t>
            </w:r>
            <w:r>
              <w:rPr>
                <w:rFonts w:ascii="Arial" w:hAnsi="Arial"/>
                <w:color w:val="auto"/>
                <w:sz w:val="28"/>
                <w:szCs w:val="22"/>
              </w:rPr>
              <w:t>7</w:t>
            </w:r>
            <w:r w:rsidRPr="00ED7B0C">
              <w:rPr>
                <w:rFonts w:ascii="Arial" w:hAnsi="Arial"/>
                <w:color w:val="auto"/>
                <w:sz w:val="28"/>
                <w:szCs w:val="22"/>
              </w:rPr>
              <w:t xml:space="preserve"> – </w:t>
            </w:r>
            <w:r>
              <w:rPr>
                <w:rFonts w:ascii="Arial" w:hAnsi="Arial"/>
                <w:color w:val="auto"/>
                <w:sz w:val="28"/>
                <w:szCs w:val="22"/>
              </w:rPr>
              <w:t xml:space="preserve">Demander à une IA d’analyser un risque </w:t>
            </w:r>
            <w:r w:rsidR="00A76A41">
              <w:rPr>
                <w:rFonts w:ascii="Arial" w:hAnsi="Arial"/>
                <w:color w:val="auto"/>
                <w:sz w:val="28"/>
                <w:szCs w:val="22"/>
              </w:rPr>
              <w:t>commercial</w:t>
            </w:r>
            <w:r>
              <w:rPr>
                <w:rFonts w:ascii="Arial" w:hAnsi="Arial"/>
                <w:color w:val="auto"/>
                <w:sz w:val="28"/>
                <w:szCs w:val="22"/>
              </w:rPr>
              <w:t xml:space="preserve"> </w:t>
            </w:r>
          </w:p>
        </w:tc>
        <w:tc>
          <w:tcPr>
            <w:tcW w:w="187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0CC18E50" w14:textId="77777777" w:rsidR="001C2EF9" w:rsidRPr="00ED7B0C" w:rsidRDefault="001C2EF9" w:rsidP="007C2202">
            <w:pPr>
              <w:jc w:val="center"/>
              <w:rPr>
                <w:rFonts w:cs="Arial"/>
                <w:noProof/>
                <w:lang w:eastAsia="fr-FR"/>
              </w:rPr>
            </w:pPr>
            <w:r>
              <w:rPr>
                <w:noProof/>
                <w:color w:val="000000" w:themeColor="text1"/>
                <w:szCs w:val="20"/>
              </w:rPr>
              <w:drawing>
                <wp:inline distT="0" distB="0" distL="0" distR="0" wp14:anchorId="692C7104" wp14:editId="68F88FE0">
                  <wp:extent cx="733830" cy="756000"/>
                  <wp:effectExtent l="0" t="0" r="9525" b="6350"/>
                  <wp:docPr id="1849532651"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532651" name="Image 184953265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3830" cy="756000"/>
                          </a:xfrm>
                          <a:prstGeom prst="rect">
                            <a:avLst/>
                          </a:prstGeom>
                        </pic:spPr>
                      </pic:pic>
                    </a:graphicData>
                  </a:graphic>
                </wp:inline>
              </w:drawing>
            </w:r>
          </w:p>
        </w:tc>
      </w:tr>
      <w:tr w:rsidR="001C2EF9" w:rsidRPr="00C22356" w14:paraId="33B94662" w14:textId="77777777" w:rsidTr="007C2202">
        <w:trPr>
          <w:trHeight w:val="386"/>
        </w:trPr>
        <w:tc>
          <w:tcPr>
            <w:tcW w:w="1856" w:type="dxa"/>
            <w:shd w:val="clear" w:color="auto" w:fill="92D050"/>
            <w:vAlign w:val="center"/>
          </w:tcPr>
          <w:p w14:paraId="78BA514B" w14:textId="77777777" w:rsidR="001C2EF9" w:rsidRPr="006C7177" w:rsidRDefault="001C2EF9" w:rsidP="007C2202">
            <w:pPr>
              <w:jc w:val="left"/>
            </w:pPr>
            <w:r>
              <w:t>Durée : 50’</w:t>
            </w:r>
          </w:p>
        </w:tc>
        <w:tc>
          <w:tcPr>
            <w:tcW w:w="6219" w:type="dxa"/>
            <w:shd w:val="clear" w:color="auto" w:fill="92D050"/>
          </w:tcPr>
          <w:p w14:paraId="1ECDA641" w14:textId="77777777" w:rsidR="001C2EF9" w:rsidRPr="006C7177" w:rsidRDefault="001C2EF9" w:rsidP="007C2202">
            <w:pPr>
              <w:jc w:val="center"/>
            </w:pPr>
            <w:r>
              <w:rPr>
                <w:i/>
                <w:noProof/>
              </w:rPr>
              <w:drawing>
                <wp:inline distT="0" distB="0" distL="0" distR="0" wp14:anchorId="22B47405" wp14:editId="7FD3B004">
                  <wp:extent cx="324000" cy="324000"/>
                  <wp:effectExtent l="0" t="0" r="0" b="0"/>
                  <wp:docPr id="1950203041" name="Graphique 195020304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407418" name="Graphique 567407418"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proofErr w:type="gramStart"/>
            <w:r>
              <w:rPr>
                <w:i/>
              </w:rPr>
              <w:t>ou</w:t>
            </w:r>
            <w:proofErr w:type="gramEnd"/>
            <w:r>
              <w:rPr>
                <w:i/>
              </w:rPr>
              <w:t xml:space="preserve"> </w:t>
            </w:r>
            <w:r>
              <w:rPr>
                <w:i/>
                <w:noProof/>
              </w:rPr>
              <w:drawing>
                <wp:inline distT="0" distB="0" distL="0" distR="0" wp14:anchorId="77147F3D" wp14:editId="686235AD">
                  <wp:extent cx="360000" cy="360000"/>
                  <wp:effectExtent l="0" t="0" r="0" b="2540"/>
                  <wp:docPr id="1965206817" name="Graphique 1965206817"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676537" name="Graphique 594676537"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740" w:type="dxa"/>
            <w:shd w:val="clear" w:color="auto" w:fill="92D050"/>
            <w:vAlign w:val="center"/>
          </w:tcPr>
          <w:p w14:paraId="526FD6C4" w14:textId="77777777" w:rsidR="001C2EF9" w:rsidRPr="00264929" w:rsidRDefault="001C2EF9" w:rsidP="007C2202">
            <w:pPr>
              <w:jc w:val="center"/>
              <w:rPr>
                <w:bCs/>
              </w:rPr>
            </w:pPr>
            <w:r w:rsidRPr="00971377">
              <w:rPr>
                <w:bCs/>
                <w:noProof/>
              </w:rPr>
              <w:drawing>
                <wp:inline distT="0" distB="0" distL="0" distR="0" wp14:anchorId="1AB22B0E" wp14:editId="43C5F524">
                  <wp:extent cx="365557" cy="360000"/>
                  <wp:effectExtent l="0" t="0" r="0" b="2540"/>
                  <wp:docPr id="88274600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5557" cy="360000"/>
                          </a:xfrm>
                          <a:prstGeom prst="rect">
                            <a:avLst/>
                          </a:prstGeom>
                          <a:noFill/>
                          <a:ln>
                            <a:noFill/>
                          </a:ln>
                        </pic:spPr>
                      </pic:pic>
                    </a:graphicData>
                  </a:graphic>
                </wp:inline>
              </w:drawing>
            </w:r>
          </w:p>
        </w:tc>
        <w:tc>
          <w:tcPr>
            <w:tcW w:w="1134" w:type="dxa"/>
            <w:shd w:val="clear" w:color="auto" w:fill="92D050"/>
            <w:vAlign w:val="center"/>
          </w:tcPr>
          <w:p w14:paraId="278EFE2A" w14:textId="77777777" w:rsidR="001C2EF9" w:rsidRPr="00264929" w:rsidRDefault="001C2EF9" w:rsidP="007C2202">
            <w:pPr>
              <w:jc w:val="center"/>
              <w:rPr>
                <w:bCs/>
              </w:rPr>
            </w:pPr>
            <w:r w:rsidRPr="00264929">
              <w:rPr>
                <w:bCs/>
              </w:rPr>
              <w:t>Source</w:t>
            </w:r>
          </w:p>
        </w:tc>
      </w:tr>
    </w:tbl>
    <w:p w14:paraId="65CDEF1F" w14:textId="77777777" w:rsidR="001C2EF9" w:rsidRPr="00EE29BA" w:rsidRDefault="001C2EF9" w:rsidP="001C2EF9">
      <w:pPr>
        <w:pStyle w:val="Titre2"/>
        <w:spacing w:before="240"/>
        <w:rPr>
          <w:rFonts w:ascii="Arial" w:hAnsi="Arial"/>
          <w:noProof/>
        </w:rPr>
      </w:pPr>
      <w:r>
        <w:rPr>
          <w:noProof/>
        </w:rPr>
        <w:drawing>
          <wp:anchor distT="0" distB="0" distL="114300" distR="114300" simplePos="0" relativeHeight="251659264" behindDoc="0" locked="0" layoutInCell="1" allowOverlap="1" wp14:anchorId="396CC274" wp14:editId="00010FC0">
            <wp:simplePos x="0" y="0"/>
            <wp:positionH relativeFrom="column">
              <wp:posOffset>5783580</wp:posOffset>
            </wp:positionH>
            <wp:positionV relativeFrom="paragraph">
              <wp:posOffset>224155</wp:posOffset>
            </wp:positionV>
            <wp:extent cx="559435" cy="1058545"/>
            <wp:effectExtent l="0" t="0" r="0" b="8255"/>
            <wp:wrapSquare wrapText="bothSides"/>
            <wp:docPr id="71898478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984781" name="Image 71898478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9435" cy="1058545"/>
                    </a:xfrm>
                    <a:prstGeom prst="rect">
                      <a:avLst/>
                    </a:prstGeom>
                  </pic:spPr>
                </pic:pic>
              </a:graphicData>
            </a:graphic>
            <wp14:sizeRelH relativeFrom="margin">
              <wp14:pctWidth>0</wp14:pctWidth>
            </wp14:sizeRelH>
            <wp14:sizeRelV relativeFrom="margin">
              <wp14:pctHeight>0</wp14:pctHeight>
            </wp14:sizeRelV>
          </wp:anchor>
        </w:drawing>
      </w:r>
      <w:r w:rsidRPr="00EE29BA">
        <w:rPr>
          <w:rFonts w:ascii="Arial" w:hAnsi="Arial"/>
          <w:noProof/>
        </w:rPr>
        <w:t>Contexte professionnel</w:t>
      </w:r>
    </w:p>
    <w:p w14:paraId="285B6A14" w14:textId="77777777" w:rsidR="001C2EF9" w:rsidRPr="00093E35" w:rsidRDefault="001C2EF9" w:rsidP="001C2EF9">
      <w:pPr>
        <w:spacing w:after="120"/>
        <w:rPr>
          <w:b/>
          <w:bCs/>
        </w:rPr>
      </w:pPr>
      <w:r w:rsidRPr="00093E35">
        <w:rPr>
          <w:b/>
          <w:bCs/>
        </w:rPr>
        <w:t>Black-Ice : l’innovation alpine à la conquête de l’Asie</w:t>
      </w:r>
    </w:p>
    <w:p w14:paraId="560157BB" w14:textId="77777777" w:rsidR="001C2EF9" w:rsidRPr="00093E35" w:rsidRDefault="001C2EF9" w:rsidP="001C2EF9">
      <w:pPr>
        <w:spacing w:before="120"/>
      </w:pPr>
      <w:r>
        <w:rPr>
          <w:noProof/>
        </w:rPr>
        <w:drawing>
          <wp:anchor distT="0" distB="0" distL="114300" distR="114300" simplePos="0" relativeHeight="251660288" behindDoc="0" locked="0" layoutInCell="1" allowOverlap="1" wp14:anchorId="13517B8E" wp14:editId="37FDAEC8">
            <wp:simplePos x="0" y="0"/>
            <wp:positionH relativeFrom="column">
              <wp:posOffset>40640</wp:posOffset>
            </wp:positionH>
            <wp:positionV relativeFrom="paragraph">
              <wp:posOffset>4445</wp:posOffset>
            </wp:positionV>
            <wp:extent cx="657860" cy="961390"/>
            <wp:effectExtent l="0" t="0" r="8890" b="0"/>
            <wp:wrapSquare wrapText="bothSides"/>
            <wp:docPr id="152569318" name="Image 7" descr="Une image contenant sac, accessoire, Bagages et sacs, sac à dos&#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69318" name="Image 7" descr="Une image contenant sac, accessoire, Bagages et sacs, sac à dos&#10;&#10;Le contenu généré par l’IA peut êtr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7860" cy="961390"/>
                    </a:xfrm>
                    <a:prstGeom prst="rect">
                      <a:avLst/>
                    </a:prstGeom>
                  </pic:spPr>
                </pic:pic>
              </a:graphicData>
            </a:graphic>
            <wp14:sizeRelH relativeFrom="margin">
              <wp14:pctWidth>0</wp14:pctWidth>
            </wp14:sizeRelH>
            <wp14:sizeRelV relativeFrom="margin">
              <wp14:pctHeight>0</wp14:pctHeight>
            </wp14:sizeRelV>
          </wp:anchor>
        </w:drawing>
      </w:r>
      <w:r w:rsidRPr="00093E35">
        <w:t>La société Black-Ice s’est imposée ces dernières années comme un acteur innovant dans le domaine du matériel de montagne. Son savoir-faire repose sur la conception et la commercialisation d’équipements techniques de haute performance : sacs à dos, piolets, crampons, broches à glace et autres accessoires destinés aux alpinistes et aux amateurs de sports de haute montagne.</w:t>
      </w:r>
    </w:p>
    <w:p w14:paraId="0C8F924E" w14:textId="77777777" w:rsidR="001C2EF9" w:rsidRPr="00093E35" w:rsidRDefault="001C2EF9" w:rsidP="001C2EF9">
      <w:pPr>
        <w:spacing w:before="120"/>
      </w:pPr>
      <w:r w:rsidRPr="00093E35">
        <w:t>Grâce à sa capacité d’innovation et à la mise au point de matériels ultra-légers, la marque a remporté plusieurs prix prestigieux lors de salons spécialisés dans le secteur de la montagne et de l’outdoor. Cette reconnaissance a renforcé sa crédibilité auprès des professionnels et des passionnés.</w:t>
      </w:r>
    </w:p>
    <w:p w14:paraId="7AEC66FD" w14:textId="77777777" w:rsidR="001C2EF9" w:rsidRPr="00093E35" w:rsidRDefault="001C2EF9" w:rsidP="001C2EF9">
      <w:pPr>
        <w:spacing w:before="120"/>
        <w:rPr>
          <w:b/>
          <w:bCs/>
        </w:rPr>
      </w:pPr>
      <w:r w:rsidRPr="00093E35">
        <w:rPr>
          <w:b/>
          <w:bCs/>
        </w:rPr>
        <w:t>De nouvelles perspectives internationales</w:t>
      </w:r>
    </w:p>
    <w:p w14:paraId="5A380200" w14:textId="77777777" w:rsidR="001C2EF9" w:rsidRPr="00093E35" w:rsidRDefault="001C2EF9" w:rsidP="001C2EF9">
      <w:pPr>
        <w:spacing w:before="120"/>
      </w:pPr>
      <w:r w:rsidRPr="00093E35">
        <w:t>Récemment, plusieurs guides de montagne partenaires de la société ont attiré son attention sur un potentiel de développement considérable en Inde, au Népal et en Chine, régions où l’alpinisme et le trekking connaissent un essor notable.</w:t>
      </w:r>
    </w:p>
    <w:p w14:paraId="31B1B136" w14:textId="77777777" w:rsidR="001C2EF9" w:rsidRPr="00093E35" w:rsidRDefault="001C2EF9" w:rsidP="001C2EF9">
      <w:pPr>
        <w:pStyle w:val="Paragraphedeliste"/>
        <w:numPr>
          <w:ilvl w:val="0"/>
          <w:numId w:val="13"/>
        </w:numPr>
        <w:spacing w:before="120"/>
      </w:pPr>
      <w:r w:rsidRPr="00093E35">
        <w:t>Le Népal, avec l’Himalaya et l’Everest, attire chaque année des milliers d’alpinistes du monde entier.</w:t>
      </w:r>
    </w:p>
    <w:p w14:paraId="08E83E16" w14:textId="77777777" w:rsidR="001C2EF9" w:rsidRPr="00093E35" w:rsidRDefault="001C2EF9" w:rsidP="001C2EF9">
      <w:pPr>
        <w:pStyle w:val="Paragraphedeliste"/>
        <w:numPr>
          <w:ilvl w:val="0"/>
          <w:numId w:val="13"/>
        </w:numPr>
        <w:spacing w:before="120"/>
      </w:pPr>
      <w:r w:rsidRPr="00093E35">
        <w:t>L’Inde développe ses activités de trekking dans l’Himalaya indien, soutenues par un tourisme en pleine croissance.</w:t>
      </w:r>
    </w:p>
    <w:p w14:paraId="50A280D2" w14:textId="77777777" w:rsidR="001C2EF9" w:rsidRPr="00093E35" w:rsidRDefault="001C2EF9" w:rsidP="001C2EF9">
      <w:pPr>
        <w:pStyle w:val="Paragraphedeliste"/>
        <w:numPr>
          <w:ilvl w:val="0"/>
          <w:numId w:val="13"/>
        </w:numPr>
        <w:spacing w:before="120"/>
      </w:pPr>
      <w:r w:rsidRPr="00093E35">
        <w:t>La Chine, avec ses vastes massifs et son marché intérieur en plein essor, représente également une opportunité stratégique.</w:t>
      </w:r>
    </w:p>
    <w:p w14:paraId="0534E64A" w14:textId="77777777" w:rsidR="001C2EF9" w:rsidRPr="00093E35" w:rsidRDefault="001C2EF9" w:rsidP="001C2EF9">
      <w:pPr>
        <w:spacing w:before="120"/>
        <w:rPr>
          <w:b/>
          <w:bCs/>
        </w:rPr>
      </w:pPr>
      <w:r w:rsidRPr="00093E35">
        <w:rPr>
          <w:b/>
          <w:bCs/>
        </w:rPr>
        <w:t>Une implantation à l’étude</w:t>
      </w:r>
    </w:p>
    <w:p w14:paraId="59734ADF" w14:textId="77777777" w:rsidR="001C2EF9" w:rsidRPr="00093E35" w:rsidRDefault="001C2EF9" w:rsidP="001C2EF9">
      <w:pPr>
        <w:spacing w:before="120"/>
      </w:pPr>
      <w:r w:rsidRPr="00093E35">
        <w:t>Pour répondre à cette demande croissante, la société Black-Ice envisage l’ouverture d’une succursale commerciale en Asie. Cette implantation permettrait :</w:t>
      </w:r>
    </w:p>
    <w:p w14:paraId="370C2A60" w14:textId="77777777" w:rsidR="001C2EF9" w:rsidRPr="00A30283" w:rsidRDefault="001C2EF9" w:rsidP="001C2EF9">
      <w:pPr>
        <w:pStyle w:val="Paragraphedeliste"/>
        <w:numPr>
          <w:ilvl w:val="0"/>
          <w:numId w:val="14"/>
        </w:numPr>
      </w:pPr>
      <w:proofErr w:type="gramStart"/>
      <w:r>
        <w:t>d</w:t>
      </w:r>
      <w:r w:rsidRPr="00A30283">
        <w:t>e</w:t>
      </w:r>
      <w:proofErr w:type="gramEnd"/>
      <w:r w:rsidRPr="00A30283">
        <w:t xml:space="preserve"> se rapprocher des marchés locaux,</w:t>
      </w:r>
    </w:p>
    <w:p w14:paraId="68C264C9" w14:textId="77777777" w:rsidR="001C2EF9" w:rsidRPr="00A30283" w:rsidRDefault="001C2EF9" w:rsidP="001C2EF9">
      <w:pPr>
        <w:pStyle w:val="Paragraphedeliste"/>
        <w:numPr>
          <w:ilvl w:val="0"/>
          <w:numId w:val="14"/>
        </w:numPr>
      </w:pPr>
      <w:proofErr w:type="gramStart"/>
      <w:r w:rsidRPr="00A30283">
        <w:t>d’adapter</w:t>
      </w:r>
      <w:proofErr w:type="gramEnd"/>
      <w:r w:rsidRPr="00A30283">
        <w:t xml:space="preserve"> son offre aux besoins spécifiques des alpinistes et randonneurs de la région,</w:t>
      </w:r>
    </w:p>
    <w:p w14:paraId="04A170E7" w14:textId="77777777" w:rsidR="001C2EF9" w:rsidRDefault="001C2EF9" w:rsidP="001C2EF9">
      <w:pPr>
        <w:pStyle w:val="Paragraphedeliste"/>
        <w:numPr>
          <w:ilvl w:val="0"/>
          <w:numId w:val="14"/>
        </w:numPr>
      </w:pPr>
      <w:proofErr w:type="gramStart"/>
      <w:r w:rsidRPr="00A30283">
        <w:t>de</w:t>
      </w:r>
      <w:proofErr w:type="gramEnd"/>
      <w:r w:rsidRPr="00A30283">
        <w:t xml:space="preserve"> renforcer sa notoriété internationale</w:t>
      </w:r>
      <w:r>
        <w:t>,</w:t>
      </w:r>
    </w:p>
    <w:p w14:paraId="40750763" w14:textId="77777777" w:rsidR="001C2EF9" w:rsidRPr="00A30283" w:rsidRDefault="001C2EF9" w:rsidP="001C2EF9">
      <w:pPr>
        <w:pStyle w:val="Paragraphedeliste"/>
        <w:numPr>
          <w:ilvl w:val="0"/>
          <w:numId w:val="14"/>
        </w:numPr>
      </w:pPr>
      <w:proofErr w:type="gramStart"/>
      <w:r w:rsidRPr="00A30283">
        <w:t>et</w:t>
      </w:r>
      <w:proofErr w:type="gramEnd"/>
      <w:r w:rsidRPr="00A30283">
        <w:t xml:space="preserve"> de développer de nouveaux partenariats avec les acteurs du tourisme et de la montagne sur place.</w:t>
      </w:r>
    </w:p>
    <w:p w14:paraId="64A94704" w14:textId="77777777" w:rsidR="001C2EF9" w:rsidRDefault="001C2EF9" w:rsidP="001C2EF9">
      <w:pPr>
        <w:spacing w:before="120"/>
      </w:pPr>
      <w:r w:rsidRPr="00A30283">
        <w:t>L’entreprise est aujourd’hui en phase d’analyse et d’étude de faisabilité afin de définir la meilleure stratégie d’implantation et de sécuriser son développement dans ces pays à fort potentiel.</w:t>
      </w:r>
      <w:r>
        <w:t xml:space="preserve"> </w:t>
      </w:r>
      <w:r w:rsidRPr="003C49C4">
        <w:t>Les critères de choix d’un pays d’implantation doivent résulter d’un équilibre entre les opportunités commerciales, les conditions locales et la gestion des risques. Ils peuvent être regroupés en six grandes catégories :</w:t>
      </w:r>
    </w:p>
    <w:p w14:paraId="4D164D6D" w14:textId="77777777" w:rsidR="001C2EF9" w:rsidRPr="003C49C4" w:rsidRDefault="001C2EF9" w:rsidP="001C2EF9">
      <w:pPr>
        <w:pStyle w:val="Paragraphedeliste"/>
        <w:numPr>
          <w:ilvl w:val="0"/>
          <w:numId w:val="15"/>
        </w:numPr>
      </w:pPr>
      <w:r w:rsidRPr="003C49C4">
        <w:t>Potentiel de marché et demande locale</w:t>
      </w:r>
      <w:r>
        <w:t> ;</w:t>
      </w:r>
    </w:p>
    <w:p w14:paraId="6BA53ACB" w14:textId="77777777" w:rsidR="001C2EF9" w:rsidRDefault="001C2EF9" w:rsidP="001C2EF9">
      <w:pPr>
        <w:pStyle w:val="Paragraphedeliste"/>
        <w:numPr>
          <w:ilvl w:val="0"/>
          <w:numId w:val="15"/>
        </w:numPr>
      </w:pPr>
      <w:r w:rsidRPr="003C49C4">
        <w:t>Accessibilité et logistique</w:t>
      </w:r>
      <w:r>
        <w:t> ;</w:t>
      </w:r>
    </w:p>
    <w:p w14:paraId="3CCD62AD" w14:textId="77777777" w:rsidR="001C2EF9" w:rsidRDefault="001C2EF9" w:rsidP="001C2EF9">
      <w:pPr>
        <w:pStyle w:val="Paragraphedeliste"/>
        <w:numPr>
          <w:ilvl w:val="0"/>
          <w:numId w:val="15"/>
        </w:numPr>
      </w:pPr>
      <w:r w:rsidRPr="003C49C4">
        <w:t>Environnement économique et réglementaire</w:t>
      </w:r>
      <w:r>
        <w:t> ;</w:t>
      </w:r>
    </w:p>
    <w:p w14:paraId="2E4F541A" w14:textId="77777777" w:rsidR="001C2EF9" w:rsidRDefault="001C2EF9" w:rsidP="001C2EF9">
      <w:pPr>
        <w:pStyle w:val="Paragraphedeliste"/>
        <w:numPr>
          <w:ilvl w:val="0"/>
          <w:numId w:val="15"/>
        </w:numPr>
      </w:pPr>
      <w:r w:rsidRPr="003C49C4">
        <w:t>Coût et conditions d’implantation</w:t>
      </w:r>
      <w:r>
        <w:t> ;</w:t>
      </w:r>
    </w:p>
    <w:p w14:paraId="345A2756" w14:textId="77777777" w:rsidR="001C2EF9" w:rsidRDefault="001C2EF9" w:rsidP="001C2EF9">
      <w:pPr>
        <w:pStyle w:val="Paragraphedeliste"/>
        <w:numPr>
          <w:ilvl w:val="0"/>
          <w:numId w:val="15"/>
        </w:numPr>
      </w:pPr>
      <w:r w:rsidRPr="003C49C4">
        <w:t>Risques pays</w:t>
      </w:r>
      <w:r>
        <w:t> ;</w:t>
      </w:r>
    </w:p>
    <w:p w14:paraId="01A3E96F" w14:textId="77777777" w:rsidR="001C2EF9" w:rsidRPr="003C49C4" w:rsidRDefault="001C2EF9" w:rsidP="001C2EF9">
      <w:pPr>
        <w:pStyle w:val="Paragraphedeliste"/>
        <w:numPr>
          <w:ilvl w:val="0"/>
          <w:numId w:val="15"/>
        </w:numPr>
      </w:pPr>
      <w:r w:rsidRPr="003C49C4">
        <w:t>Partenariats et réseaux locaux</w:t>
      </w:r>
      <w:r>
        <w:t>.</w:t>
      </w:r>
    </w:p>
    <w:p w14:paraId="083EFCFA" w14:textId="77777777" w:rsidR="001C2EF9" w:rsidRPr="00093E35" w:rsidRDefault="001C2EF9" w:rsidP="001C2EF9">
      <w:pPr>
        <w:pStyle w:val="Titre2"/>
        <w:spacing w:before="240"/>
        <w:rPr>
          <w:rFonts w:ascii="Arial" w:hAnsi="Arial"/>
          <w:noProof/>
        </w:rPr>
      </w:pPr>
      <w:r w:rsidRPr="00093E35">
        <w:rPr>
          <w:rFonts w:ascii="Arial" w:hAnsi="Arial"/>
          <w:noProof/>
        </w:rPr>
        <w:t xml:space="preserve">Travaille à faire </w:t>
      </w:r>
    </w:p>
    <w:p w14:paraId="737BB864" w14:textId="77777777" w:rsidR="001C2EF9" w:rsidRDefault="001C2EF9" w:rsidP="001C2EF9">
      <w:pPr>
        <w:rPr>
          <w:rStyle w:val="Lienhypertexte"/>
          <w:rFonts w:cs="Arial"/>
          <w:b/>
          <w:sz w:val="16"/>
          <w:szCs w:val="16"/>
          <w:lang w:eastAsia="fr-FR"/>
        </w:rPr>
      </w:pPr>
      <w:r>
        <w:rPr>
          <w:rFonts w:cs="Arial"/>
          <w:noProof/>
        </w:rPr>
        <w:t>À</w:t>
      </w:r>
      <w:r>
        <w:rPr>
          <w:noProof/>
        </w:rPr>
        <w:t xml:space="preserve"> l’aide d’une IA de comparer</w:t>
      </w:r>
      <w:r w:rsidRPr="00093E35">
        <w:rPr>
          <w:noProof/>
        </w:rPr>
        <w:t xml:space="preserve"> </w:t>
      </w:r>
      <w:r>
        <w:rPr>
          <w:noProof/>
        </w:rPr>
        <w:t xml:space="preserve">les pays dans lequelles privilégier une implantartion en prenant en comptes </w:t>
      </w:r>
      <w:r w:rsidRPr="003C49C4">
        <w:t>opportunités commerciales, les conditions locales et la gestion des</w:t>
      </w:r>
      <w:r>
        <w:t xml:space="preserve"> risques</w:t>
      </w:r>
      <w:r>
        <w:rPr>
          <w:noProof/>
        </w:rPr>
        <w:t>.</w:t>
      </w:r>
    </w:p>
    <w:p w14:paraId="6C5DDB29" w14:textId="77777777" w:rsidR="001C2EF9" w:rsidRDefault="001C2EF9" w:rsidP="001C2EF9">
      <w:pPr>
        <w:jc w:val="left"/>
        <w:rPr>
          <w:rStyle w:val="Lienhypertexte"/>
          <w:rFonts w:cs="Arial"/>
          <w:b/>
          <w:sz w:val="16"/>
          <w:szCs w:val="16"/>
          <w:lang w:eastAsia="fr-FR"/>
        </w:rPr>
      </w:pPr>
    </w:p>
    <w:p w14:paraId="67AD9BAB" w14:textId="77777777" w:rsidR="001C2EF9" w:rsidRDefault="001C2EF9" w:rsidP="001C2EF9">
      <w:pPr>
        <w:jc w:val="left"/>
        <w:rPr>
          <w:rStyle w:val="Lienhypertexte"/>
          <w:rFonts w:cs="Arial"/>
          <w:b/>
          <w:sz w:val="16"/>
          <w:szCs w:val="16"/>
          <w:lang w:eastAsia="fr-FR"/>
        </w:rPr>
      </w:pPr>
    </w:p>
    <w:p w14:paraId="0A39DEFE" w14:textId="77777777" w:rsidR="001C2EF9" w:rsidRDefault="001C2EF9" w:rsidP="001C2EF9">
      <w:pPr>
        <w:jc w:val="left"/>
        <w:rPr>
          <w:rStyle w:val="Lienhypertexte"/>
          <w:rFonts w:cs="Arial"/>
          <w:b/>
          <w:sz w:val="16"/>
          <w:szCs w:val="16"/>
          <w:lang w:eastAsia="fr-FR"/>
        </w:rPr>
      </w:pPr>
    </w:p>
    <w:p w14:paraId="562F7558" w14:textId="77777777" w:rsidR="009F75ED" w:rsidRPr="001C2EF9" w:rsidRDefault="009F75ED" w:rsidP="001C2EF9"/>
    <w:sectPr w:rsidR="009F75ED" w:rsidRPr="001C2EF9" w:rsidSect="004A1D9C">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C1C05"/>
    <w:multiLevelType w:val="hybridMultilevel"/>
    <w:tmpl w:val="56EC31E4"/>
    <w:lvl w:ilvl="0" w:tplc="6EC023EC">
      <w:start w:val="1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FE0340"/>
    <w:multiLevelType w:val="hybridMultilevel"/>
    <w:tmpl w:val="BEB255F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0A3037F"/>
    <w:multiLevelType w:val="multilevel"/>
    <w:tmpl w:val="EE247A4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 w15:restartNumberingAfterBreak="0">
    <w:nsid w:val="18593F94"/>
    <w:multiLevelType w:val="hybridMultilevel"/>
    <w:tmpl w:val="AE5EB682"/>
    <w:lvl w:ilvl="0" w:tplc="6EC023EC">
      <w:start w:val="11"/>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244310B"/>
    <w:multiLevelType w:val="hybridMultilevel"/>
    <w:tmpl w:val="7B5C1F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28B57FB"/>
    <w:multiLevelType w:val="hybridMultilevel"/>
    <w:tmpl w:val="F9165CD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2E2F6F0F"/>
    <w:multiLevelType w:val="hybridMultilevel"/>
    <w:tmpl w:val="37F89A06"/>
    <w:lvl w:ilvl="0" w:tplc="6EC023EC">
      <w:start w:val="5"/>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EC2A0B"/>
    <w:multiLevelType w:val="hybridMultilevel"/>
    <w:tmpl w:val="5B4CECB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3DF40D07"/>
    <w:multiLevelType w:val="hybridMultilevel"/>
    <w:tmpl w:val="D3F624C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1145D76"/>
    <w:multiLevelType w:val="hybridMultilevel"/>
    <w:tmpl w:val="6444240C"/>
    <w:lvl w:ilvl="0" w:tplc="6EC023EC">
      <w:start w:val="11"/>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4CF21500"/>
    <w:multiLevelType w:val="multilevel"/>
    <w:tmpl w:val="91E8E2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505D4B3B"/>
    <w:multiLevelType w:val="multilevel"/>
    <w:tmpl w:val="A232FE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50E94058"/>
    <w:multiLevelType w:val="hybridMultilevel"/>
    <w:tmpl w:val="56D81E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6519378F"/>
    <w:multiLevelType w:val="hybridMultilevel"/>
    <w:tmpl w:val="44FCF07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69995DCA"/>
    <w:multiLevelType w:val="hybridMultilevel"/>
    <w:tmpl w:val="D13C901E"/>
    <w:lvl w:ilvl="0" w:tplc="6EC023EC">
      <w:start w:val="1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65244225">
    <w:abstractNumId w:val="14"/>
  </w:num>
  <w:num w:numId="2" w16cid:durableId="2043967939">
    <w:abstractNumId w:val="0"/>
  </w:num>
  <w:num w:numId="3" w16cid:durableId="506556569">
    <w:abstractNumId w:val="6"/>
  </w:num>
  <w:num w:numId="4" w16cid:durableId="1160854565">
    <w:abstractNumId w:val="12"/>
  </w:num>
  <w:num w:numId="5" w16cid:durableId="1831168676">
    <w:abstractNumId w:val="13"/>
  </w:num>
  <w:num w:numId="6" w16cid:durableId="845823511">
    <w:abstractNumId w:val="7"/>
  </w:num>
  <w:num w:numId="7" w16cid:durableId="1256748758">
    <w:abstractNumId w:val="11"/>
  </w:num>
  <w:num w:numId="8" w16cid:durableId="683283352">
    <w:abstractNumId w:val="10"/>
  </w:num>
  <w:num w:numId="9" w16cid:durableId="923221112">
    <w:abstractNumId w:val="3"/>
  </w:num>
  <w:num w:numId="10" w16cid:durableId="1947081336">
    <w:abstractNumId w:val="2"/>
  </w:num>
  <w:num w:numId="11" w16cid:durableId="1913270789">
    <w:abstractNumId w:val="5"/>
  </w:num>
  <w:num w:numId="12" w16cid:durableId="1261529131">
    <w:abstractNumId w:val="9"/>
  </w:num>
  <w:num w:numId="13" w16cid:durableId="685908013">
    <w:abstractNumId w:val="4"/>
  </w:num>
  <w:num w:numId="14" w16cid:durableId="1233006374">
    <w:abstractNumId w:val="1"/>
  </w:num>
  <w:num w:numId="15" w16cid:durableId="1851462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D9C"/>
    <w:rsid w:val="0003681B"/>
    <w:rsid w:val="001344F0"/>
    <w:rsid w:val="001C2EF9"/>
    <w:rsid w:val="002D117D"/>
    <w:rsid w:val="003F477E"/>
    <w:rsid w:val="004A1D9C"/>
    <w:rsid w:val="009F4809"/>
    <w:rsid w:val="009F75ED"/>
    <w:rsid w:val="00A76A41"/>
    <w:rsid w:val="00B51A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DC80D"/>
  <w15:chartTrackingRefBased/>
  <w15:docId w15:val="{B801C052-2A04-416E-A391-8DEB5F2F5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D9C"/>
    <w:pPr>
      <w:spacing w:after="0" w:line="240" w:lineRule="auto"/>
      <w:jc w:val="both"/>
    </w:pPr>
    <w:rPr>
      <w:rFonts w:ascii="Arial" w:eastAsia="Calibri" w:hAnsi="Arial" w:cs="Times New Roman"/>
      <w:sz w:val="20"/>
    </w:rPr>
  </w:style>
  <w:style w:type="paragraph" w:styleId="Titre2">
    <w:name w:val="heading 2"/>
    <w:basedOn w:val="Normal"/>
    <w:link w:val="Titre2Car"/>
    <w:uiPriority w:val="9"/>
    <w:qFormat/>
    <w:rsid w:val="004A1D9C"/>
    <w:pPr>
      <w:spacing w:after="120"/>
      <w:outlineLvl w:val="1"/>
    </w:pPr>
    <w:rPr>
      <w:rFonts w:ascii="Arial Black" w:eastAsia="Times New Roman" w:hAnsi="Arial Black" w:cs="Arial"/>
      <w:b/>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A1D9C"/>
    <w:rPr>
      <w:rFonts w:ascii="Arial Black" w:eastAsia="Times New Roman" w:hAnsi="Arial Black" w:cs="Arial"/>
      <w:b/>
      <w:color w:val="000000"/>
      <w:sz w:val="24"/>
      <w:szCs w:val="20"/>
      <w:lang w:eastAsia="fr-FR"/>
    </w:rPr>
  </w:style>
  <w:style w:type="character" w:styleId="Lienhypertexte">
    <w:name w:val="Hyperlink"/>
    <w:uiPriority w:val="99"/>
    <w:unhideWhenUsed/>
    <w:rsid w:val="004A1D9C"/>
    <w:rPr>
      <w:color w:val="0000FF"/>
      <w:u w:val="single"/>
    </w:rPr>
  </w:style>
  <w:style w:type="paragraph" w:styleId="Paragraphedeliste">
    <w:name w:val="List Paragraph"/>
    <w:basedOn w:val="Normal"/>
    <w:uiPriority w:val="34"/>
    <w:qFormat/>
    <w:rsid w:val="004A1D9C"/>
    <w:pPr>
      <w:ind w:left="720"/>
      <w:contextualSpacing/>
    </w:pPr>
  </w:style>
  <w:style w:type="paragraph" w:styleId="NormalWeb">
    <w:name w:val="Normal (Web)"/>
    <w:basedOn w:val="Normal"/>
    <w:uiPriority w:val="99"/>
    <w:rsid w:val="0003681B"/>
    <w:pPr>
      <w:spacing w:before="100" w:beforeAutospacing="1" w:after="100" w:afterAutospacing="1"/>
    </w:pPr>
    <w:rPr>
      <w:rFonts w:ascii="Times New Roman" w:eastAsia="Times New Roman" w:hAnsi="Times New Roman"/>
      <w:sz w:val="24"/>
      <w:szCs w:val="24"/>
      <w:lang w:eastAsia="fr-FR"/>
    </w:rPr>
  </w:style>
  <w:style w:type="character" w:styleId="lev">
    <w:name w:val="Strong"/>
    <w:aliases w:val="a texte"/>
    <w:uiPriority w:val="22"/>
    <w:qFormat/>
    <w:rsid w:val="0003681B"/>
    <w:rPr>
      <w:b/>
      <w:bCs/>
    </w:rPr>
  </w:style>
  <w:style w:type="character" w:customStyle="1" w:styleId="field">
    <w:name w:val="field"/>
    <w:basedOn w:val="Policepardfaut"/>
    <w:rsid w:val="00036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420</Words>
  <Characters>2314</Characters>
  <Application>Microsoft Office Word</Application>
  <DocSecurity>0</DocSecurity>
  <Lines>19</Lines>
  <Paragraphs>5</Paragraphs>
  <ScaleCrop>false</ScaleCrop>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8</cp:revision>
  <dcterms:created xsi:type="dcterms:W3CDTF">2021-09-10T20:48:00Z</dcterms:created>
  <dcterms:modified xsi:type="dcterms:W3CDTF">2025-09-01T14:36:00Z</dcterms:modified>
</cp:coreProperties>
</file>