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99" w:type="dxa"/>
        <w:tblInd w:w="-1" w:type="dxa"/>
        <w:shd w:val="clear" w:color="auto" w:fill="92D050"/>
        <w:tblLayout w:type="fixed"/>
        <w:tblLook w:val="04A0" w:firstRow="1" w:lastRow="0" w:firstColumn="1" w:lastColumn="0" w:noHBand="0" w:noVBand="1"/>
      </w:tblPr>
      <w:tblGrid>
        <w:gridCol w:w="1527"/>
        <w:gridCol w:w="5982"/>
        <w:gridCol w:w="851"/>
        <w:gridCol w:w="1639"/>
      </w:tblGrid>
      <w:tr w:rsidR="00B27A88" w:rsidRPr="009C64F3" w14:paraId="4874798E" w14:textId="77777777" w:rsidTr="00CF6EF4">
        <w:trPr>
          <w:trHeight w:val="386"/>
        </w:trPr>
        <w:tc>
          <w:tcPr>
            <w:tcW w:w="7509" w:type="dxa"/>
            <w:gridSpan w:val="2"/>
            <w:shd w:val="clear" w:color="auto" w:fill="92D050"/>
            <w:vAlign w:val="center"/>
          </w:tcPr>
          <w:p w14:paraId="68F2B688" w14:textId="77777777" w:rsidR="00B27A88" w:rsidRPr="00B27A88" w:rsidRDefault="00B27A88" w:rsidP="00CF6EF4">
            <w:pPr>
              <w:pStyle w:val="Titre3"/>
              <w:jc w:val="center"/>
              <w:rPr>
                <w:rFonts w:ascii="Arial" w:hAnsi="Arial" w:cs="Arial"/>
                <w:b/>
                <w:bCs/>
                <w:sz w:val="28"/>
                <w:szCs w:val="22"/>
              </w:rPr>
            </w:pPr>
            <w:r w:rsidRPr="00B27A88">
              <w:rPr>
                <w:rFonts w:ascii="Arial" w:hAnsi="Arial" w:cs="Arial"/>
                <w:b/>
                <w:bCs/>
                <w:sz w:val="28"/>
                <w:szCs w:val="22"/>
              </w:rPr>
              <w:t>Mission 5 – Analyser un fichier des règlements avec une IA</w:t>
            </w:r>
          </w:p>
        </w:tc>
        <w:tc>
          <w:tcPr>
            <w:tcW w:w="2490" w:type="dxa"/>
            <w:gridSpan w:val="2"/>
            <w:shd w:val="clear" w:color="auto" w:fill="92D050"/>
          </w:tcPr>
          <w:p w14:paraId="42516AA1" w14:textId="77777777" w:rsidR="00B27A88" w:rsidRPr="009C64F3" w:rsidRDefault="00B27A88" w:rsidP="00CF6EF4">
            <w:pPr>
              <w:pStyle w:val="Titre3"/>
              <w:jc w:val="center"/>
              <w:rPr>
                <w:sz w:val="28"/>
                <w:szCs w:val="28"/>
              </w:rPr>
            </w:pPr>
            <w:r>
              <w:rPr>
                <w:noProof/>
                <w:color w:val="000000" w:themeColor="text1"/>
                <w:sz w:val="20"/>
              </w:rPr>
              <w:drawing>
                <wp:inline distT="0" distB="0" distL="0" distR="0" wp14:anchorId="3C7494CA" wp14:editId="5F7CEA1D">
                  <wp:extent cx="867308" cy="828000"/>
                  <wp:effectExtent l="0" t="0" r="0" b="0"/>
                  <wp:docPr id="1921907190" name="Image 14" descr="Une image contenant disque compact, cercl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90" name="Image 14" descr="Une image contenant disque compact, cercl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7308" cy="828000"/>
                          </a:xfrm>
                          <a:prstGeom prst="rect">
                            <a:avLst/>
                          </a:prstGeom>
                        </pic:spPr>
                      </pic:pic>
                    </a:graphicData>
                  </a:graphic>
                </wp:inline>
              </w:drawing>
            </w:r>
          </w:p>
        </w:tc>
      </w:tr>
      <w:tr w:rsidR="00B27A88" w:rsidRPr="002A26A7" w14:paraId="5AD1133B" w14:textId="77777777" w:rsidTr="00CF6EF4">
        <w:trPr>
          <w:trHeight w:val="504"/>
        </w:trPr>
        <w:tc>
          <w:tcPr>
            <w:tcW w:w="1527" w:type="dxa"/>
            <w:shd w:val="clear" w:color="auto" w:fill="92D050"/>
            <w:vAlign w:val="center"/>
          </w:tcPr>
          <w:p w14:paraId="376818F9" w14:textId="77777777" w:rsidR="00B27A88" w:rsidRPr="008D1343" w:rsidRDefault="00B27A88" w:rsidP="00CF6EF4">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30’  </w:t>
            </w:r>
          </w:p>
        </w:tc>
        <w:tc>
          <w:tcPr>
            <w:tcW w:w="5982" w:type="dxa"/>
            <w:shd w:val="clear" w:color="auto" w:fill="92D050"/>
            <w:vAlign w:val="center"/>
          </w:tcPr>
          <w:p w14:paraId="2F92E0E0" w14:textId="77777777" w:rsidR="00B27A88" w:rsidRPr="002A26A7" w:rsidRDefault="00B27A88" w:rsidP="00CF6EF4">
            <w:pPr>
              <w:jc w:val="center"/>
              <w:rPr>
                <w:rFonts w:cs="Arial"/>
                <w:color w:val="000000" w:themeColor="text1"/>
              </w:rPr>
            </w:pPr>
            <w:r>
              <w:rPr>
                <w:i/>
                <w:noProof/>
              </w:rPr>
              <w:drawing>
                <wp:inline distT="0" distB="0" distL="0" distR="0" wp14:anchorId="562E477B" wp14:editId="48791792">
                  <wp:extent cx="360000" cy="360000"/>
                  <wp:effectExtent l="0" t="0" r="0" b="2540"/>
                  <wp:docPr id="1832639798" name="Graphique 183263979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roofErr w:type="gramStart"/>
            <w:r>
              <w:rPr>
                <w:i/>
              </w:rPr>
              <w:t>ou</w:t>
            </w:r>
            <w:proofErr w:type="gramEnd"/>
            <w:r>
              <w:rPr>
                <w:i/>
              </w:rPr>
              <w:t xml:space="preserve"> </w:t>
            </w:r>
            <w:r>
              <w:rPr>
                <w:i/>
                <w:noProof/>
              </w:rPr>
              <w:drawing>
                <wp:inline distT="0" distB="0" distL="0" distR="0" wp14:anchorId="688A065E" wp14:editId="1223252F">
                  <wp:extent cx="360000" cy="360000"/>
                  <wp:effectExtent l="0" t="0" r="0" b="2540"/>
                  <wp:docPr id="1962672271" name="Graphique 196267227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851" w:type="dxa"/>
            <w:shd w:val="clear" w:color="auto" w:fill="92D050"/>
            <w:vAlign w:val="center"/>
          </w:tcPr>
          <w:p w14:paraId="30C9B1BD" w14:textId="77777777" w:rsidR="00B27A88" w:rsidRPr="002A26A7" w:rsidRDefault="00B27A88" w:rsidP="00CF6EF4">
            <w:pPr>
              <w:jc w:val="center"/>
              <w:rPr>
                <w:rFonts w:cs="Arial"/>
                <w:color w:val="000000" w:themeColor="text1"/>
              </w:rPr>
            </w:pPr>
            <w:r>
              <w:rPr>
                <w:rFonts w:cs="Arial"/>
                <w:noProof/>
                <w:color w:val="000000" w:themeColor="text1"/>
              </w:rPr>
              <w:drawing>
                <wp:inline distT="0" distB="0" distL="0" distR="0" wp14:anchorId="6956382A" wp14:editId="5CBCBEAC">
                  <wp:extent cx="365726" cy="360000"/>
                  <wp:effectExtent l="0" t="0" r="0" b="2540"/>
                  <wp:docPr id="805301787" name="Image 8" descr="Une image contenant symbole, Bleu électriqu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01787" name="Image 8" descr="Une image contenant symbole, Bleu électrique, logo,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26" cy="360000"/>
                          </a:xfrm>
                          <a:prstGeom prst="rect">
                            <a:avLst/>
                          </a:prstGeom>
                        </pic:spPr>
                      </pic:pic>
                    </a:graphicData>
                  </a:graphic>
                </wp:inline>
              </w:drawing>
            </w:r>
          </w:p>
        </w:tc>
        <w:tc>
          <w:tcPr>
            <w:tcW w:w="1639" w:type="dxa"/>
            <w:shd w:val="clear" w:color="auto" w:fill="92D050"/>
            <w:vAlign w:val="center"/>
          </w:tcPr>
          <w:p w14:paraId="44B47AA0" w14:textId="77777777" w:rsidR="00B27A88" w:rsidRPr="002A26A7" w:rsidRDefault="00B27A88" w:rsidP="00CF6EF4">
            <w:pPr>
              <w:jc w:val="center"/>
              <w:rPr>
                <w:rFonts w:cs="Arial"/>
                <w:color w:val="000000" w:themeColor="text1"/>
              </w:rPr>
            </w:pPr>
            <w:r w:rsidRPr="002A26A7">
              <w:rPr>
                <w:rFonts w:cs="Arial"/>
                <w:color w:val="000000" w:themeColor="text1"/>
              </w:rPr>
              <w:t>Source</w:t>
            </w:r>
            <w:r>
              <w:rPr>
                <w:rFonts w:cs="Arial"/>
                <w:color w:val="000000" w:themeColor="text1"/>
              </w:rPr>
              <w:t xml:space="preserve"> | Excel</w:t>
            </w:r>
          </w:p>
        </w:tc>
      </w:tr>
    </w:tbl>
    <w:p w14:paraId="21DBA6BC" w14:textId="77777777" w:rsidR="00B27A88" w:rsidRPr="00822EC4" w:rsidRDefault="00B27A88" w:rsidP="00B27A88">
      <w:pPr>
        <w:spacing w:before="240" w:after="120" w:line="265" w:lineRule="auto"/>
        <w:ind w:left="-5"/>
        <w:jc w:val="left"/>
        <w:rPr>
          <w:sz w:val="24"/>
          <w:szCs w:val="28"/>
        </w:rPr>
      </w:pPr>
      <w:r>
        <w:rPr>
          <w:b/>
          <w:bCs/>
          <w:noProof/>
          <w:color w:val="000000"/>
          <w:szCs w:val="20"/>
        </w:rPr>
        <w:drawing>
          <wp:anchor distT="0" distB="0" distL="114300" distR="114300" simplePos="0" relativeHeight="251659264" behindDoc="0" locked="0" layoutInCell="1" allowOverlap="1" wp14:anchorId="706F8D01" wp14:editId="028158AD">
            <wp:simplePos x="0" y="0"/>
            <wp:positionH relativeFrom="column">
              <wp:posOffset>4684395</wp:posOffset>
            </wp:positionH>
            <wp:positionV relativeFrom="paragraph">
              <wp:posOffset>269240</wp:posOffset>
            </wp:positionV>
            <wp:extent cx="1681480" cy="1199515"/>
            <wp:effectExtent l="0" t="0" r="0" b="635"/>
            <wp:wrapSquare wrapText="bothSides"/>
            <wp:docPr id="463572246" name="Image 1" descr="Une image contenant Pièce auto, plastique, jouet, vitess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72246" name="Image 1" descr="Une image contenant Pièce auto, plastique, jouet, vitesse&#10;&#10;Le contenu généré par l’IA peut être incorrect."/>
                    <pic:cNvPicPr/>
                  </pic:nvPicPr>
                  <pic:blipFill rotWithShape="1">
                    <a:blip r:embed="rId13" cstate="print">
                      <a:extLst>
                        <a:ext uri="{28A0092B-C50C-407E-A947-70E740481C1C}">
                          <a14:useLocalDpi xmlns:a14="http://schemas.microsoft.com/office/drawing/2010/main" val="0"/>
                        </a:ext>
                      </a:extLst>
                    </a:blip>
                    <a:srcRect r="5915"/>
                    <a:stretch>
                      <a:fillRect/>
                    </a:stretch>
                  </pic:blipFill>
                  <pic:spPr bwMode="auto">
                    <a:xfrm>
                      <a:off x="0" y="0"/>
                      <a:ext cx="1681480" cy="1199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2EC4">
        <w:rPr>
          <w:b/>
          <w:sz w:val="24"/>
          <w:szCs w:val="28"/>
        </w:rPr>
        <w:t xml:space="preserve">Contexte professionnel </w:t>
      </w:r>
    </w:p>
    <w:p w14:paraId="02984E25" w14:textId="77777777" w:rsidR="00B27A88" w:rsidRPr="00B27A88" w:rsidRDefault="00B27A88" w:rsidP="00B27A88">
      <w:pPr>
        <w:spacing w:before="120"/>
        <w:rPr>
          <w:sz w:val="20"/>
          <w:szCs w:val="20"/>
        </w:rPr>
      </w:pPr>
      <w:r w:rsidRPr="00B27A88">
        <w:rPr>
          <w:sz w:val="20"/>
          <w:szCs w:val="20"/>
        </w:rPr>
        <w:t xml:space="preserve">L’entreprise CATADOM est spécialisée dans l’anodisation de l’aluminium, un procédé de traitement de surface par électrochimie qui modifie les propriétés du métal pour améliorer sa résistance à la corrosion et son esthétique. </w:t>
      </w:r>
    </w:p>
    <w:p w14:paraId="27FA9EBC" w14:textId="77777777" w:rsidR="00B27A88" w:rsidRPr="00B27A88" w:rsidRDefault="00B27A88" w:rsidP="00B27A88">
      <w:pPr>
        <w:spacing w:before="120"/>
        <w:rPr>
          <w:sz w:val="20"/>
          <w:szCs w:val="20"/>
        </w:rPr>
      </w:pPr>
      <w:r w:rsidRPr="00B27A88">
        <w:rPr>
          <w:sz w:val="20"/>
          <w:szCs w:val="20"/>
        </w:rPr>
        <w:t xml:space="preserve">Reconnue pour son expertise technique et sa réactivité, CATADOM collabore principalement avec des décolleteurs et des emboutisseurs de pièces en aluminium pour des secteurs exigeants tels que l’automobile, la parfumerie, le luxe, le sport et l’industrie navale. </w:t>
      </w:r>
    </w:p>
    <w:p w14:paraId="54A85C1A" w14:textId="77777777" w:rsidR="00B27A88" w:rsidRPr="00B27A88" w:rsidRDefault="00B27A88" w:rsidP="00B27A88">
      <w:pPr>
        <w:spacing w:before="120"/>
        <w:rPr>
          <w:sz w:val="20"/>
          <w:szCs w:val="20"/>
        </w:rPr>
      </w:pPr>
      <w:r w:rsidRPr="00B27A88">
        <w:rPr>
          <w:sz w:val="20"/>
          <w:szCs w:val="20"/>
        </w:rPr>
        <w:t>Florence Gonzales, dirigeante de l’entreprise, promeut une vision axée sur l’excellence industrielle, l’innovation continue et le respect des engagements</w:t>
      </w:r>
    </w:p>
    <w:p w14:paraId="59E23F10" w14:textId="77777777" w:rsidR="00B27A88" w:rsidRPr="00B27A88" w:rsidRDefault="00B27A88" w:rsidP="00B27A88">
      <w:pPr>
        <w:rPr>
          <w:sz w:val="20"/>
          <w:szCs w:val="20"/>
        </w:rPr>
      </w:pPr>
    </w:p>
    <w:p w14:paraId="579A3F0C" w14:textId="77777777" w:rsidR="00B27A88" w:rsidRPr="00B27A88" w:rsidRDefault="00B27A88" w:rsidP="00B27A88">
      <w:pPr>
        <w:rPr>
          <w:sz w:val="20"/>
          <w:szCs w:val="20"/>
        </w:rPr>
      </w:pPr>
      <w:r w:rsidRPr="00B27A88">
        <w:rPr>
          <w:sz w:val="20"/>
          <w:szCs w:val="20"/>
        </w:rPr>
        <w:t>M</w:t>
      </w:r>
      <w:r w:rsidRPr="00B27A88">
        <w:rPr>
          <w:sz w:val="20"/>
          <w:szCs w:val="20"/>
          <w:vertAlign w:val="superscript"/>
        </w:rPr>
        <w:t>me</w:t>
      </w:r>
      <w:r w:rsidRPr="00B27A88">
        <w:rPr>
          <w:sz w:val="20"/>
          <w:szCs w:val="20"/>
        </w:rPr>
        <w:t xml:space="preserve"> Gonzalez doit préparer une réunion avec le directeur commercial et le directeur administratif et financier de l’entreprise. Elle souhaite disposer de statistiques sur les règlements clients. À cette fin elle vous remet un fichier récapitule les factures réalisées au cours de l’année écoulée avec les dates d’échéance et les dates de règlement réel (fichier Excel à télécharger)</w:t>
      </w:r>
    </w:p>
    <w:p w14:paraId="5371A153" w14:textId="77777777" w:rsidR="00B27A88" w:rsidRPr="00550D45" w:rsidRDefault="00B27A88" w:rsidP="00B27A88">
      <w:pPr>
        <w:spacing w:before="120" w:after="120" w:line="265" w:lineRule="auto"/>
        <w:ind w:left="-5"/>
        <w:jc w:val="left"/>
        <w:rPr>
          <w:b/>
          <w:sz w:val="24"/>
          <w:szCs w:val="28"/>
        </w:rPr>
      </w:pPr>
      <w:r w:rsidRPr="00550D45">
        <w:rPr>
          <w:b/>
          <w:sz w:val="24"/>
          <w:szCs w:val="28"/>
        </w:rPr>
        <w:t>Travail à faire</w:t>
      </w:r>
      <w:r>
        <w:rPr>
          <w:b/>
          <w:sz w:val="24"/>
          <w:szCs w:val="28"/>
        </w:rPr>
        <w:t xml:space="preserve"> </w:t>
      </w:r>
    </w:p>
    <w:p w14:paraId="4946D18E" w14:textId="77777777" w:rsidR="00B27A88" w:rsidRPr="00B27A88" w:rsidRDefault="00B27A88" w:rsidP="00B27A88">
      <w:pPr>
        <w:spacing w:after="120"/>
        <w:rPr>
          <w:sz w:val="20"/>
          <w:szCs w:val="20"/>
        </w:rPr>
      </w:pPr>
      <w:r w:rsidRPr="00B27A88">
        <w:rPr>
          <w:sz w:val="20"/>
          <w:szCs w:val="20"/>
        </w:rPr>
        <w:t>Après avoir téléchargé le fichier Excel réaliser les tâches suivantes à l’aide d’une IA</w:t>
      </w:r>
    </w:p>
    <w:p w14:paraId="3CE21DB6" w14:textId="77777777" w:rsidR="00B27A88" w:rsidRPr="00B27A88" w:rsidRDefault="00B27A88" w:rsidP="00B27A88">
      <w:pPr>
        <w:pStyle w:val="Paragraphedeliste"/>
        <w:numPr>
          <w:ilvl w:val="0"/>
          <w:numId w:val="4"/>
        </w:numPr>
        <w:rPr>
          <w:szCs w:val="20"/>
          <w:lang w:eastAsia="fr-FR"/>
        </w:rPr>
      </w:pPr>
      <w:r w:rsidRPr="00B27A88">
        <w:rPr>
          <w:szCs w:val="20"/>
          <w:lang w:eastAsia="fr-FR"/>
        </w:rPr>
        <w:t>Calculez le retard de règlement pour chaque facture.</w:t>
      </w:r>
    </w:p>
    <w:p w14:paraId="499AA2E3" w14:textId="77777777" w:rsidR="00B27A88" w:rsidRPr="00B27A88" w:rsidRDefault="00B27A88" w:rsidP="00B27A88">
      <w:pPr>
        <w:pStyle w:val="Paragraphedeliste"/>
        <w:numPr>
          <w:ilvl w:val="0"/>
          <w:numId w:val="4"/>
        </w:numPr>
        <w:rPr>
          <w:szCs w:val="20"/>
          <w:lang w:eastAsia="fr-FR"/>
        </w:rPr>
      </w:pPr>
      <w:r w:rsidRPr="00B27A88">
        <w:rPr>
          <w:szCs w:val="20"/>
          <w:lang w:eastAsia="fr-FR"/>
        </w:rPr>
        <w:t>Déterminez le délai moyen de paiement de l’ensemble des clients.</w:t>
      </w:r>
    </w:p>
    <w:p w14:paraId="4C67BB27" w14:textId="77777777" w:rsidR="00B27A88" w:rsidRPr="00B27A88" w:rsidRDefault="00B27A88" w:rsidP="00B27A88">
      <w:pPr>
        <w:pStyle w:val="Paragraphedeliste"/>
        <w:numPr>
          <w:ilvl w:val="0"/>
          <w:numId w:val="4"/>
        </w:numPr>
        <w:rPr>
          <w:szCs w:val="20"/>
          <w:lang w:eastAsia="fr-FR"/>
        </w:rPr>
      </w:pPr>
      <w:r w:rsidRPr="00B27A88">
        <w:rPr>
          <w:szCs w:val="20"/>
          <w:lang w:eastAsia="fr-FR"/>
        </w:rPr>
        <w:t>Calculez le délai moyen de paiement uniquement pour les clients présentant des retards.</w:t>
      </w:r>
    </w:p>
    <w:p w14:paraId="42839518" w14:textId="77777777" w:rsidR="00B27A88" w:rsidRPr="00B27A88" w:rsidRDefault="00B27A88" w:rsidP="00B27A88">
      <w:pPr>
        <w:pStyle w:val="Paragraphedeliste"/>
        <w:numPr>
          <w:ilvl w:val="0"/>
          <w:numId w:val="4"/>
        </w:numPr>
        <w:rPr>
          <w:szCs w:val="20"/>
          <w:lang w:eastAsia="fr-FR"/>
        </w:rPr>
      </w:pPr>
      <w:r w:rsidRPr="00B27A88">
        <w:rPr>
          <w:szCs w:val="20"/>
          <w:lang w:eastAsia="fr-FR"/>
        </w:rPr>
        <w:t>Évaluez le coût total des retards pour l’entreprise, en tenant compte des agios prélevés par la banque (15 % appliqués sur le montant et la durée du retard).</w:t>
      </w:r>
    </w:p>
    <w:p w14:paraId="4CFB8FF6" w14:textId="77777777" w:rsidR="00B27A88" w:rsidRPr="00B27A88" w:rsidRDefault="00B27A88" w:rsidP="00B27A88">
      <w:pPr>
        <w:pStyle w:val="Paragraphedeliste"/>
        <w:numPr>
          <w:ilvl w:val="0"/>
          <w:numId w:val="4"/>
        </w:numPr>
        <w:rPr>
          <w:szCs w:val="20"/>
          <w:lang w:eastAsia="fr-FR"/>
        </w:rPr>
      </w:pPr>
      <w:r w:rsidRPr="00B27A88">
        <w:rPr>
          <w:szCs w:val="20"/>
          <w:lang w:eastAsia="fr-FR"/>
        </w:rPr>
        <w:t>Établissez une liste des mauvais payeurs, classés par ordre décroissant, du moins fiable au plus fiable.</w:t>
      </w:r>
    </w:p>
    <w:p w14:paraId="69CEACD4" w14:textId="77777777" w:rsidR="00B27A88" w:rsidRPr="00B27A88" w:rsidRDefault="00B27A88" w:rsidP="00B27A88">
      <w:pPr>
        <w:pStyle w:val="Paragraphedeliste"/>
        <w:numPr>
          <w:ilvl w:val="0"/>
          <w:numId w:val="4"/>
        </w:numPr>
        <w:rPr>
          <w:szCs w:val="20"/>
          <w:lang w:eastAsia="fr-FR"/>
        </w:rPr>
      </w:pPr>
      <w:r w:rsidRPr="00B27A88">
        <w:rPr>
          <w:szCs w:val="20"/>
          <w:lang w:eastAsia="fr-FR"/>
        </w:rPr>
        <w:t>Calculez, pour chaque mauvais payeur, le montant total des agios supportés par l’entreprise.</w:t>
      </w:r>
    </w:p>
    <w:p w14:paraId="38C92066" w14:textId="77777777" w:rsidR="00B27A88" w:rsidRPr="00B27A88" w:rsidRDefault="00B27A88" w:rsidP="00B27A88">
      <w:pPr>
        <w:pStyle w:val="Paragraphedeliste"/>
        <w:numPr>
          <w:ilvl w:val="0"/>
          <w:numId w:val="4"/>
        </w:numPr>
        <w:rPr>
          <w:szCs w:val="20"/>
          <w:lang w:eastAsia="fr-FR"/>
        </w:rPr>
      </w:pPr>
      <w:r w:rsidRPr="00B27A88">
        <w:rPr>
          <w:szCs w:val="20"/>
        </w:rPr>
        <w:t>Rédigez un courrier à destination du client le moins fiable, afin de lui notifier notre décision de ne plus collaborer avec lui en raison de ses retards de paiement répétés.</w:t>
      </w:r>
    </w:p>
    <w:p w14:paraId="16ECCBAA" w14:textId="77777777" w:rsidR="00B27A88" w:rsidRDefault="00B27A88" w:rsidP="00B27A88"/>
    <w:p w14:paraId="154DEDBC" w14:textId="77777777" w:rsidR="00B27A88" w:rsidRDefault="00B27A88" w:rsidP="00B27A88"/>
    <w:p w14:paraId="69A608E1" w14:textId="77777777" w:rsidR="00B27A88" w:rsidRDefault="00B27A88" w:rsidP="00B27A88"/>
    <w:p w14:paraId="21AF99CC" w14:textId="77777777" w:rsidR="00B27A88" w:rsidRPr="009D336F" w:rsidRDefault="00B27A88" w:rsidP="00B27A88">
      <w:pPr>
        <w:rPr>
          <w:b/>
          <w:bCs/>
          <w:sz w:val="24"/>
          <w:szCs w:val="28"/>
        </w:rPr>
      </w:pPr>
      <w:r w:rsidRPr="009D336F">
        <w:rPr>
          <w:b/>
          <w:bCs/>
          <w:color w:val="FFFFFF" w:themeColor="background1"/>
          <w:sz w:val="24"/>
          <w:szCs w:val="28"/>
          <w:highlight w:val="red"/>
        </w:rPr>
        <w:t>Doc.</w:t>
      </w:r>
      <w:r w:rsidRPr="009D336F">
        <w:rPr>
          <w:b/>
          <w:bCs/>
          <w:color w:val="FFFFFF" w:themeColor="background1"/>
          <w:sz w:val="24"/>
          <w:szCs w:val="28"/>
        </w:rPr>
        <w:t xml:space="preserve">  </w:t>
      </w:r>
      <w:r w:rsidRPr="009D336F">
        <w:rPr>
          <w:b/>
          <w:bCs/>
          <w:sz w:val="24"/>
          <w:szCs w:val="28"/>
        </w:rPr>
        <w:t>Fichier des factures des 12 derniers mois</w:t>
      </w:r>
      <w:r>
        <w:rPr>
          <w:b/>
          <w:bCs/>
          <w:sz w:val="24"/>
          <w:szCs w:val="28"/>
        </w:rPr>
        <w:t xml:space="preserve"> (extrait)</w:t>
      </w:r>
    </w:p>
    <w:p w14:paraId="68ABFCD3" w14:textId="77777777" w:rsidR="00B27A88" w:rsidRDefault="00B27A88" w:rsidP="00B27A88"/>
    <w:p w14:paraId="290F2310" w14:textId="77777777" w:rsidR="00B27A88" w:rsidRDefault="00B27A88" w:rsidP="00B27A88">
      <w:r>
        <w:rPr>
          <w:noProof/>
        </w:rPr>
        <w:drawing>
          <wp:inline distT="0" distB="0" distL="0" distR="0" wp14:anchorId="37339B52" wp14:editId="6571E074">
            <wp:extent cx="6299835" cy="2644445"/>
            <wp:effectExtent l="0" t="0" r="5715" b="3810"/>
            <wp:docPr id="101191639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6399" name="Image 1011916399"/>
                    <pic:cNvPicPr/>
                  </pic:nvPicPr>
                  <pic:blipFill rotWithShape="1">
                    <a:blip r:embed="rId14" cstate="print">
                      <a:extLst>
                        <a:ext uri="{28A0092B-C50C-407E-A947-70E740481C1C}">
                          <a14:useLocalDpi xmlns:a14="http://schemas.microsoft.com/office/drawing/2010/main" val="0"/>
                        </a:ext>
                      </a:extLst>
                    </a:blip>
                    <a:srcRect b="2994"/>
                    <a:stretch>
                      <a:fillRect/>
                    </a:stretch>
                  </pic:blipFill>
                  <pic:spPr bwMode="auto">
                    <a:xfrm>
                      <a:off x="0" y="0"/>
                      <a:ext cx="6299835" cy="2644445"/>
                    </a:xfrm>
                    <a:prstGeom prst="rect">
                      <a:avLst/>
                    </a:prstGeom>
                    <a:ln>
                      <a:noFill/>
                    </a:ln>
                    <a:extLst>
                      <a:ext uri="{53640926-AAD7-44D8-BBD7-CCE9431645EC}">
                        <a14:shadowObscured xmlns:a14="http://schemas.microsoft.com/office/drawing/2010/main"/>
                      </a:ext>
                    </a:extLst>
                  </pic:spPr>
                </pic:pic>
              </a:graphicData>
            </a:graphic>
          </wp:inline>
        </w:drawing>
      </w:r>
    </w:p>
    <w:p w14:paraId="44C0F2AE" w14:textId="77777777" w:rsidR="00B27A88" w:rsidRDefault="00B27A88" w:rsidP="00B27A88"/>
    <w:p w14:paraId="0DEDFACF" w14:textId="77777777" w:rsidR="00097CC7" w:rsidRPr="00B27A88" w:rsidRDefault="00097CC7" w:rsidP="00B27A88"/>
    <w:sectPr w:rsidR="00097CC7" w:rsidRPr="00B27A88" w:rsidSect="00A47D5D">
      <w:pgSz w:w="11906" w:h="16838"/>
      <w:pgMar w:top="851" w:right="851" w:bottom="851" w:left="1134"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D023" w14:textId="77777777" w:rsidR="006D44FA" w:rsidRDefault="006D44FA">
      <w:r>
        <w:separator/>
      </w:r>
    </w:p>
  </w:endnote>
  <w:endnote w:type="continuationSeparator" w:id="0">
    <w:p w14:paraId="0BD74CA9" w14:textId="77777777" w:rsidR="006D44FA" w:rsidRDefault="006D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B163" w14:textId="77777777" w:rsidR="006D44FA" w:rsidRDefault="006D44FA">
      <w:r>
        <w:separator/>
      </w:r>
    </w:p>
  </w:footnote>
  <w:footnote w:type="continuationSeparator" w:id="0">
    <w:p w14:paraId="5F460CFD" w14:textId="77777777" w:rsidR="006D44FA" w:rsidRDefault="006D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7F1C"/>
    <w:multiLevelType w:val="hybridMultilevel"/>
    <w:tmpl w:val="3C04BAEA"/>
    <w:lvl w:ilvl="0" w:tplc="19CE59E6">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79C4B5F"/>
    <w:multiLevelType w:val="hybridMultilevel"/>
    <w:tmpl w:val="74CE82C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6D81FCB"/>
    <w:multiLevelType w:val="hybridMultilevel"/>
    <w:tmpl w:val="7B4A3010"/>
    <w:lvl w:ilvl="0" w:tplc="DC96FD98">
      <w:start w:val="1"/>
      <w:numFmt w:val="decimal"/>
      <w:lvlText w:val="%1."/>
      <w:lvlJc w:val="left"/>
      <w:pPr>
        <w:ind w:left="355" w:hanging="360"/>
      </w:pPr>
      <w:rPr>
        <w:rFonts w:hint="default"/>
        <w:b/>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3" w15:restartNumberingAfterBreak="0">
    <w:nsid w:val="46E57789"/>
    <w:multiLevelType w:val="multilevel"/>
    <w:tmpl w:val="5B2E8D0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27784912">
    <w:abstractNumId w:val="0"/>
  </w:num>
  <w:num w:numId="2" w16cid:durableId="1007905775">
    <w:abstractNumId w:val="3"/>
  </w:num>
  <w:num w:numId="3" w16cid:durableId="943194382">
    <w:abstractNumId w:val="2"/>
  </w:num>
  <w:num w:numId="4" w16cid:durableId="245699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1C"/>
    <w:rsid w:val="00097CC7"/>
    <w:rsid w:val="000A4306"/>
    <w:rsid w:val="000E0544"/>
    <w:rsid w:val="001145E1"/>
    <w:rsid w:val="00205DF9"/>
    <w:rsid w:val="0022606E"/>
    <w:rsid w:val="002C369B"/>
    <w:rsid w:val="002F7F14"/>
    <w:rsid w:val="0032130B"/>
    <w:rsid w:val="0033052F"/>
    <w:rsid w:val="003C5766"/>
    <w:rsid w:val="00550CA1"/>
    <w:rsid w:val="005512E3"/>
    <w:rsid w:val="00600546"/>
    <w:rsid w:val="006B0BED"/>
    <w:rsid w:val="006D44FA"/>
    <w:rsid w:val="00803E42"/>
    <w:rsid w:val="0084524E"/>
    <w:rsid w:val="00A47D5D"/>
    <w:rsid w:val="00AC236D"/>
    <w:rsid w:val="00AF4C68"/>
    <w:rsid w:val="00B27A88"/>
    <w:rsid w:val="00C214C7"/>
    <w:rsid w:val="00CF40C4"/>
    <w:rsid w:val="00CF6A89"/>
    <w:rsid w:val="00DE721C"/>
    <w:rsid w:val="00E22C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299"/>
  <w15:chartTrackingRefBased/>
  <w15:docId w15:val="{52C20194-FAF9-4668-A362-487BB6F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DE721C"/>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47D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21C"/>
    <w:rPr>
      <w:rFonts w:ascii="Arial" w:eastAsia="Times New Roman" w:hAnsi="Arial" w:cs="Arial"/>
      <w:b/>
      <w:color w:val="000000"/>
      <w:sz w:val="28"/>
      <w:szCs w:val="20"/>
      <w:lang w:eastAsia="fr-FR"/>
    </w:rPr>
  </w:style>
  <w:style w:type="paragraph" w:styleId="En-tte">
    <w:name w:val="header"/>
    <w:basedOn w:val="Normal"/>
    <w:link w:val="En-tteCar"/>
    <w:uiPriority w:val="99"/>
    <w:rsid w:val="00DE721C"/>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DE721C"/>
    <w:rPr>
      <w:rFonts w:ascii="Times New Roman" w:eastAsia="Times New Roman" w:hAnsi="Times New Roman" w:cs="Times New Roman"/>
      <w:sz w:val="24"/>
      <w:szCs w:val="24"/>
      <w:lang w:eastAsia="fr-FR"/>
    </w:rPr>
  </w:style>
  <w:style w:type="character" w:styleId="Numrodepage">
    <w:name w:val="page number"/>
    <w:basedOn w:val="Policepardfaut"/>
    <w:rsid w:val="00DE721C"/>
  </w:style>
  <w:style w:type="table" w:styleId="Grilledutableau">
    <w:name w:val="Table Grid"/>
    <w:basedOn w:val="TableauNormal"/>
    <w:uiPriority w:val="59"/>
    <w:rsid w:val="00DE721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721C"/>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721C"/>
    <w:pPr>
      <w:spacing w:after="140"/>
      <w:ind w:left="142"/>
    </w:pPr>
    <w:rPr>
      <w:rFonts w:ascii="Arial" w:eastAsia="Arial" w:hAnsi="Arial" w:cs="Arial"/>
      <w:color w:val="000000"/>
      <w:lang w:eastAsia="fr-FR"/>
    </w:rPr>
  </w:style>
  <w:style w:type="character" w:customStyle="1" w:styleId="footnotedescriptionChar">
    <w:name w:val="footnote description Char"/>
    <w:link w:val="footnotedescription"/>
    <w:rsid w:val="00DE721C"/>
    <w:rPr>
      <w:rFonts w:ascii="Arial" w:eastAsia="Arial" w:hAnsi="Arial" w:cs="Arial"/>
      <w:color w:val="000000"/>
      <w:lang w:eastAsia="fr-FR"/>
    </w:rPr>
  </w:style>
  <w:style w:type="paragraph" w:styleId="Textedebulles">
    <w:name w:val="Balloon Text"/>
    <w:basedOn w:val="Normal"/>
    <w:link w:val="TextedebullesCar"/>
    <w:uiPriority w:val="99"/>
    <w:semiHidden/>
    <w:unhideWhenUsed/>
    <w:rsid w:val="003C57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766"/>
    <w:rPr>
      <w:rFonts w:ascii="Segoe UI" w:eastAsia="Calibri" w:hAnsi="Segoe UI" w:cs="Segoe UI"/>
      <w:sz w:val="18"/>
      <w:szCs w:val="18"/>
    </w:rPr>
  </w:style>
  <w:style w:type="paragraph" w:styleId="Pieddepage">
    <w:name w:val="footer"/>
    <w:basedOn w:val="Normal"/>
    <w:link w:val="PieddepageCar"/>
    <w:uiPriority w:val="99"/>
    <w:unhideWhenUsed/>
    <w:rsid w:val="003C5766"/>
    <w:pPr>
      <w:tabs>
        <w:tab w:val="center" w:pos="4536"/>
        <w:tab w:val="right" w:pos="9072"/>
      </w:tabs>
    </w:pPr>
  </w:style>
  <w:style w:type="character" w:customStyle="1" w:styleId="PieddepageCar">
    <w:name w:val="Pied de page Car"/>
    <w:basedOn w:val="Policepardfaut"/>
    <w:link w:val="Pieddepage"/>
    <w:uiPriority w:val="99"/>
    <w:rsid w:val="003C5766"/>
    <w:rPr>
      <w:rFonts w:ascii="Arial" w:eastAsia="Calibri" w:hAnsi="Arial" w:cs="Times New Roman"/>
    </w:rPr>
  </w:style>
  <w:style w:type="character" w:customStyle="1" w:styleId="Titre3Car">
    <w:name w:val="Titre 3 Car"/>
    <w:basedOn w:val="Policepardfaut"/>
    <w:link w:val="Titre3"/>
    <w:uiPriority w:val="9"/>
    <w:semiHidden/>
    <w:rsid w:val="00A47D5D"/>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A47D5D"/>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cp:lastPrinted>2016-02-16T13:44:00Z</cp:lastPrinted>
  <dcterms:created xsi:type="dcterms:W3CDTF">2015-12-11T19:09:00Z</dcterms:created>
  <dcterms:modified xsi:type="dcterms:W3CDTF">2025-08-27T04:45:00Z</dcterms:modified>
</cp:coreProperties>
</file>